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B1BB2">
      <w:pPr>
        <w:pStyle w:val="43"/>
        <w:framePr w:w="0" w:hRule="auto" w:wrap="auto" w:vAnchor="margin" w:hAnchor="text" w:xAlign="left" w:yAlign="inline"/>
        <w:rPr>
          <w:rFonts w:hint="eastAsia" w:ascii="宋体" w:hAnsi="宋体" w:eastAsia="宋体" w:cs="宋体"/>
          <w:b/>
          <w:sz w:val="48"/>
          <w:szCs w:val="48"/>
        </w:rPr>
      </w:pPr>
      <w:bookmarkStart w:id="0" w:name="SectionMark0"/>
    </w:p>
    <w:p w14:paraId="4909AB03">
      <w:pPr>
        <w:pStyle w:val="43"/>
        <w:framePr w:w="0" w:hRule="auto" w:wrap="auto" w:vAnchor="margin" w:hAnchor="text" w:xAlign="left" w:yAlign="inline"/>
        <w:rPr>
          <w:rFonts w:hint="eastAsia" w:ascii="宋体" w:hAnsi="宋体" w:eastAsia="宋体" w:cs="宋体"/>
          <w:b/>
          <w:sz w:val="48"/>
          <w:szCs w:val="48"/>
        </w:rPr>
      </w:pPr>
    </w:p>
    <w:p w14:paraId="496A076D">
      <w:pPr>
        <w:pStyle w:val="43"/>
        <w:framePr w:w="0" w:hRule="auto" w:wrap="auto" w:vAnchor="margin" w:hAnchor="text" w:xAlign="left" w:yAlign="inline"/>
        <w:rPr>
          <w:rFonts w:hint="eastAsia" w:ascii="宋体" w:hAnsi="宋体" w:eastAsia="宋体" w:cs="宋体"/>
          <w:b/>
          <w:sz w:val="48"/>
          <w:szCs w:val="48"/>
        </w:rPr>
      </w:pPr>
    </w:p>
    <w:p w14:paraId="4E4039E1">
      <w:pPr>
        <w:pStyle w:val="43"/>
        <w:framePr w:w="0" w:hRule="auto" w:wrap="auto" w:vAnchor="margin" w:hAnchor="text" w:xAlign="left" w:yAlign="inline"/>
        <w:rPr>
          <w:rFonts w:hint="eastAsia" w:ascii="宋体" w:hAnsi="宋体" w:eastAsia="宋体" w:cs="宋体"/>
          <w:b/>
          <w:sz w:val="48"/>
          <w:szCs w:val="48"/>
        </w:rPr>
      </w:pPr>
    </w:p>
    <w:p w14:paraId="788D0DB0">
      <w:pPr>
        <w:pStyle w:val="43"/>
        <w:framePr w:w="0" w:hRule="auto" w:wrap="auto" w:vAnchor="margin" w:hAnchor="text" w:xAlign="left" w:yAlign="inline"/>
        <w:rPr>
          <w:rFonts w:hint="eastAsia" w:ascii="宋体" w:hAnsi="宋体" w:eastAsia="宋体" w:cs="宋体"/>
          <w:b/>
          <w:sz w:val="48"/>
          <w:szCs w:val="48"/>
        </w:rPr>
      </w:pPr>
    </w:p>
    <w:p w14:paraId="7CDBA7E0">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2026年南方电网数字电网集团有限公司深圳分公司软硬件产品（堡垒机、日志审计系统、入侵防御系统）投标寻源项目（标的</w:t>
      </w:r>
      <w:r>
        <w:rPr>
          <w:rFonts w:hint="eastAsia" w:ascii="宋体" w:hAnsi="宋体" w:eastAsia="宋体" w:cs="宋体"/>
          <w:b/>
          <w:sz w:val="36"/>
          <w:szCs w:val="36"/>
          <w:lang w:val="en-US" w:eastAsia="zh-CN"/>
        </w:rPr>
        <w:t>1</w:t>
      </w: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堡垒机（配置1）</w:t>
      </w:r>
      <w:r>
        <w:rPr>
          <w:rFonts w:hint="eastAsia" w:ascii="宋体" w:hAnsi="宋体" w:eastAsia="宋体" w:cs="宋体"/>
          <w:b/>
          <w:sz w:val="36"/>
          <w:szCs w:val="36"/>
          <w:lang w:eastAsia="zh-CN"/>
        </w:rPr>
        <w:t>）</w:t>
      </w:r>
    </w:p>
    <w:p w14:paraId="52670156">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13F06865">
      <w:pPr>
        <w:pStyle w:val="60"/>
        <w:rPr>
          <w:rFonts w:hint="eastAsia" w:hAnsi="宋体" w:cs="宋体"/>
        </w:rPr>
      </w:pPr>
    </w:p>
    <w:p w14:paraId="65D21416">
      <w:pPr>
        <w:pStyle w:val="60"/>
        <w:rPr>
          <w:rFonts w:hint="eastAsia" w:hAnsi="宋体" w:cs="宋体"/>
        </w:rPr>
      </w:pPr>
    </w:p>
    <w:p w14:paraId="597793F9">
      <w:pPr>
        <w:pStyle w:val="60"/>
        <w:rPr>
          <w:rFonts w:hint="eastAsia" w:hAnsi="宋体" w:cs="宋体"/>
        </w:rPr>
      </w:pPr>
    </w:p>
    <w:p w14:paraId="69EF9AF5">
      <w:pPr>
        <w:pStyle w:val="60"/>
        <w:rPr>
          <w:rFonts w:hint="eastAsia" w:hAnsi="宋体" w:cs="宋体"/>
        </w:rPr>
      </w:pPr>
    </w:p>
    <w:p w14:paraId="611A53FB">
      <w:pPr>
        <w:pStyle w:val="60"/>
        <w:rPr>
          <w:rFonts w:hint="eastAsia" w:hAnsi="宋体" w:cs="宋体"/>
        </w:rPr>
      </w:pPr>
    </w:p>
    <w:p w14:paraId="5A6163C1">
      <w:pPr>
        <w:pStyle w:val="60"/>
        <w:jc w:val="both"/>
        <w:rPr>
          <w:rFonts w:hint="eastAsia" w:hAnsi="宋体" w:cs="宋体"/>
        </w:rPr>
      </w:pPr>
    </w:p>
    <w:p w14:paraId="2CD354F8">
      <w:pPr>
        <w:pStyle w:val="60"/>
        <w:jc w:val="both"/>
        <w:rPr>
          <w:rFonts w:hint="eastAsia" w:hAnsi="宋体" w:cs="宋体"/>
        </w:rPr>
      </w:pPr>
    </w:p>
    <w:p w14:paraId="780A7E23">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7</w:t>
      </w:r>
      <w:r>
        <w:rPr>
          <w:rFonts w:hint="eastAsia" w:hAnsi="宋体" w:cs="宋体"/>
          <w:b/>
          <w:spacing w:val="32"/>
          <w:position w:val="-6"/>
          <w:sz w:val="32"/>
          <w:szCs w:val="32"/>
        </w:rPr>
        <w:t>月</w:t>
      </w:r>
    </w:p>
    <w:p w14:paraId="378F829F">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74BFE43">
      <w:pPr>
        <w:pageBreakBefore/>
        <w:rPr>
          <w:rFonts w:hint="eastAsia" w:ascii="宋体" w:hAnsi="宋体" w:cs="宋体"/>
          <w:b/>
          <w:spacing w:val="24"/>
          <w:position w:val="-6"/>
          <w:sz w:val="36"/>
          <w:szCs w:val="36"/>
        </w:rPr>
      </w:pPr>
    </w:p>
    <w:bookmarkEnd w:id="0"/>
    <w:p w14:paraId="298E2EDC">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3FCD9D28">
      <w:pPr>
        <w:pStyle w:val="20"/>
        <w:tabs>
          <w:tab w:val="right" w:leader="dot" w:pos="8306"/>
        </w:tabs>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"1-1" \h \u </w:instrText>
      </w:r>
      <w:r>
        <w:rPr>
          <w:rFonts w:hint="eastAsia" w:ascii="宋体" w:hAnsi="宋体" w:eastAsia="宋体" w:cs="宋体"/>
          <w:sz w:val="24"/>
          <w:szCs w:val="24"/>
        </w:rPr>
        <w:fldChar w:fldCharType="separate"/>
      </w:r>
      <w:r>
        <w:rPr>
          <w:rFonts w:hint="eastAsia" w:ascii="宋体" w:hAnsi="宋体" w:eastAsia="宋体" w:cs="宋体"/>
          <w:szCs w:val="24"/>
        </w:rPr>
        <w:fldChar w:fldCharType="begin"/>
      </w:r>
      <w:r>
        <w:rPr>
          <w:rFonts w:hint="eastAsia" w:ascii="宋体" w:hAnsi="宋体" w:eastAsia="宋体" w:cs="宋体"/>
          <w:szCs w:val="24"/>
        </w:rPr>
        <w:instrText xml:space="preserve"> HYPERLINK \l _Toc28877 </w:instrText>
      </w:r>
      <w:r>
        <w:rPr>
          <w:rFonts w:hint="eastAsia" w:ascii="宋体" w:hAnsi="宋体" w:eastAsia="宋体" w:cs="宋体"/>
          <w:szCs w:val="24"/>
        </w:rPr>
        <w:fldChar w:fldCharType="separate"/>
      </w:r>
      <w:r>
        <w:rPr>
          <w:rFonts w:hint="eastAsia" w:ascii="宋体" w:hAnsi="宋体" w:cs="宋体"/>
          <w:kern w:val="0"/>
          <w:szCs w:val="24"/>
        </w:rPr>
        <w:t>1 总则</w:t>
      </w:r>
      <w:r>
        <w:tab/>
      </w:r>
      <w:r>
        <w:fldChar w:fldCharType="begin"/>
      </w:r>
      <w:r>
        <w:instrText xml:space="preserve"> PAGEREF _Toc28877 \h </w:instrText>
      </w:r>
      <w:r>
        <w:fldChar w:fldCharType="separate"/>
      </w:r>
      <w:r>
        <w:t>3</w:t>
      </w:r>
      <w:r>
        <w:fldChar w:fldCharType="end"/>
      </w:r>
      <w:r>
        <w:rPr>
          <w:rFonts w:hint="eastAsia" w:ascii="宋体" w:hAnsi="宋体" w:eastAsia="宋体" w:cs="宋体"/>
          <w:szCs w:val="24"/>
        </w:rPr>
        <w:fldChar w:fldCharType="end"/>
      </w:r>
    </w:p>
    <w:p w14:paraId="6402A085">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_Toc11532 </w:instrText>
      </w:r>
      <w:r>
        <w:rPr>
          <w:rFonts w:hint="eastAsia" w:ascii="宋体" w:hAnsi="宋体" w:eastAsia="宋体" w:cs="宋体"/>
          <w:szCs w:val="24"/>
        </w:rPr>
        <w:fldChar w:fldCharType="separate"/>
      </w:r>
      <w:r>
        <w:rPr>
          <w:rFonts w:hint="eastAsia" w:ascii="宋体" w:hAnsi="宋体" w:cs="宋体"/>
          <w:kern w:val="0"/>
          <w:szCs w:val="24"/>
        </w:rPr>
        <w:t xml:space="preserve">2 </w:t>
      </w:r>
      <w:r>
        <w:rPr>
          <w:rFonts w:hint="eastAsia" w:ascii="宋体" w:hAnsi="宋体" w:cs="宋体"/>
          <w:kern w:val="0"/>
          <w:szCs w:val="24"/>
          <w:lang w:val="en-US" w:eastAsia="zh-CN"/>
        </w:rPr>
        <w:t>项目概况</w:t>
      </w:r>
      <w:r>
        <w:tab/>
      </w:r>
      <w:r>
        <w:fldChar w:fldCharType="begin"/>
      </w:r>
      <w:r>
        <w:instrText xml:space="preserve"> PAGEREF _Toc11532 \h </w:instrText>
      </w:r>
      <w:r>
        <w:fldChar w:fldCharType="separate"/>
      </w:r>
      <w:r>
        <w:t>4</w:t>
      </w:r>
      <w:r>
        <w:fldChar w:fldCharType="end"/>
      </w:r>
      <w:r>
        <w:rPr>
          <w:rFonts w:hint="eastAsia" w:ascii="宋体" w:hAnsi="宋体" w:eastAsia="宋体" w:cs="宋体"/>
          <w:szCs w:val="24"/>
        </w:rPr>
        <w:fldChar w:fldCharType="end"/>
      </w:r>
    </w:p>
    <w:p w14:paraId="373BC5A4">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_Toc19546 </w:instrText>
      </w:r>
      <w:r>
        <w:rPr>
          <w:rFonts w:hint="eastAsia" w:ascii="宋体" w:hAnsi="宋体" w:eastAsia="宋体" w:cs="宋体"/>
          <w:szCs w:val="24"/>
        </w:rPr>
        <w:fldChar w:fldCharType="separate"/>
      </w:r>
      <w:r>
        <w:rPr>
          <w:rFonts w:hint="eastAsia" w:ascii="宋体" w:hAnsi="宋体" w:eastAsia="宋体" w:cs="宋体"/>
          <w:bCs/>
          <w:kern w:val="0"/>
          <w:szCs w:val="24"/>
        </w:rPr>
        <w:t>3 工作范围</w:t>
      </w:r>
      <w:r>
        <w:tab/>
      </w:r>
      <w:r>
        <w:fldChar w:fldCharType="begin"/>
      </w:r>
      <w:r>
        <w:instrText xml:space="preserve"> PAGEREF _Toc19546 \h </w:instrText>
      </w:r>
      <w:r>
        <w:fldChar w:fldCharType="separate"/>
      </w:r>
      <w:r>
        <w:t>4</w:t>
      </w:r>
      <w:r>
        <w:fldChar w:fldCharType="end"/>
      </w:r>
      <w:r>
        <w:rPr>
          <w:rFonts w:hint="eastAsia" w:ascii="宋体" w:hAnsi="宋体" w:eastAsia="宋体" w:cs="宋体"/>
          <w:szCs w:val="24"/>
        </w:rPr>
        <w:fldChar w:fldCharType="end"/>
      </w:r>
    </w:p>
    <w:p w14:paraId="5822D4F9">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_Toc20800 </w:instrText>
      </w:r>
      <w:r>
        <w:rPr>
          <w:rFonts w:hint="eastAsia" w:ascii="宋体" w:hAnsi="宋体" w:eastAsia="宋体" w:cs="宋体"/>
          <w:szCs w:val="24"/>
        </w:rPr>
        <w:fldChar w:fldCharType="separate"/>
      </w:r>
      <w:r>
        <w:rPr>
          <w:rFonts w:hint="eastAsia" w:ascii="宋体" w:hAnsi="宋体" w:cs="宋体"/>
          <w:kern w:val="0"/>
          <w:szCs w:val="24"/>
        </w:rPr>
        <w:t>4 引用标准</w:t>
      </w:r>
      <w:r>
        <w:tab/>
      </w:r>
      <w:r>
        <w:fldChar w:fldCharType="begin"/>
      </w:r>
      <w:r>
        <w:instrText xml:space="preserve"> PAGEREF _Toc20800 \h </w:instrText>
      </w:r>
      <w:r>
        <w:fldChar w:fldCharType="separate"/>
      </w:r>
      <w:r>
        <w:t>4</w:t>
      </w:r>
      <w:r>
        <w:fldChar w:fldCharType="end"/>
      </w:r>
      <w:r>
        <w:rPr>
          <w:rFonts w:hint="eastAsia" w:ascii="宋体" w:hAnsi="宋体" w:eastAsia="宋体" w:cs="宋体"/>
          <w:szCs w:val="24"/>
        </w:rPr>
        <w:fldChar w:fldCharType="end"/>
      </w:r>
    </w:p>
    <w:p w14:paraId="4919C748">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_Toc15695 </w:instrText>
      </w:r>
      <w:r>
        <w:rPr>
          <w:rFonts w:hint="eastAsia" w:ascii="宋体" w:hAnsi="宋体" w:eastAsia="宋体" w:cs="宋体"/>
          <w:szCs w:val="24"/>
        </w:rPr>
        <w:fldChar w:fldCharType="separate"/>
      </w:r>
      <w:r>
        <w:rPr>
          <w:rFonts w:hint="eastAsia" w:ascii="宋体" w:hAnsi="宋体" w:cs="宋体"/>
          <w:kern w:val="0"/>
          <w:szCs w:val="24"/>
        </w:rPr>
        <w:t>5 使用环境要求</w:t>
      </w:r>
      <w:r>
        <w:tab/>
      </w:r>
      <w:r>
        <w:fldChar w:fldCharType="begin"/>
      </w:r>
      <w:r>
        <w:instrText xml:space="preserve"> PAGEREF _Toc15695 \h </w:instrText>
      </w:r>
      <w:r>
        <w:fldChar w:fldCharType="separate"/>
      </w:r>
      <w:r>
        <w:t>5</w:t>
      </w:r>
      <w:r>
        <w:fldChar w:fldCharType="end"/>
      </w:r>
      <w:r>
        <w:rPr>
          <w:rFonts w:hint="eastAsia" w:ascii="宋体" w:hAnsi="宋体" w:eastAsia="宋体" w:cs="宋体"/>
          <w:szCs w:val="24"/>
        </w:rPr>
        <w:fldChar w:fldCharType="end"/>
      </w:r>
    </w:p>
    <w:p w14:paraId="2AEF0389">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_Toc24394 </w:instrText>
      </w:r>
      <w:r>
        <w:rPr>
          <w:rFonts w:hint="eastAsia" w:ascii="宋体" w:hAnsi="宋体" w:eastAsia="宋体" w:cs="宋体"/>
          <w:szCs w:val="24"/>
        </w:rPr>
        <w:fldChar w:fldCharType="separate"/>
      </w:r>
      <w:r>
        <w:rPr>
          <w:rFonts w:hint="eastAsia" w:ascii="宋体" w:hAnsi="宋体" w:cs="宋体"/>
          <w:kern w:val="0"/>
          <w:szCs w:val="24"/>
        </w:rPr>
        <w:t>6 技术要求</w:t>
      </w:r>
      <w:r>
        <w:tab/>
      </w:r>
      <w:r>
        <w:fldChar w:fldCharType="begin"/>
      </w:r>
      <w:r>
        <w:instrText xml:space="preserve"> PAGEREF _Toc24394 \h </w:instrText>
      </w:r>
      <w:r>
        <w:fldChar w:fldCharType="separate"/>
      </w:r>
      <w:r>
        <w:t>5</w:t>
      </w:r>
      <w:r>
        <w:fldChar w:fldCharType="end"/>
      </w:r>
      <w:r>
        <w:rPr>
          <w:rFonts w:hint="eastAsia" w:ascii="宋体" w:hAnsi="宋体" w:eastAsia="宋体" w:cs="宋体"/>
          <w:szCs w:val="24"/>
        </w:rPr>
        <w:fldChar w:fldCharType="end"/>
      </w:r>
    </w:p>
    <w:p w14:paraId="6B7BA6C0">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_Toc914 </w:instrText>
      </w:r>
      <w:r>
        <w:rPr>
          <w:rFonts w:hint="eastAsia" w:ascii="宋体" w:hAnsi="宋体" w:eastAsia="宋体" w:cs="宋体"/>
          <w:szCs w:val="24"/>
        </w:rPr>
        <w:fldChar w:fldCharType="separate"/>
      </w:r>
      <w:r>
        <w:rPr>
          <w:rFonts w:hint="eastAsia" w:ascii="宋体" w:hAnsi="宋体" w:cs="宋体"/>
          <w:kern w:val="0"/>
          <w:szCs w:val="24"/>
        </w:rPr>
        <w:t>7 资料管理</w:t>
      </w:r>
      <w:r>
        <w:tab/>
      </w:r>
      <w:r>
        <w:fldChar w:fldCharType="begin"/>
      </w:r>
      <w:r>
        <w:instrText xml:space="preserve"> PAGEREF _Toc914 \h </w:instrText>
      </w:r>
      <w:r>
        <w:fldChar w:fldCharType="separate"/>
      </w:r>
      <w:r>
        <w:t>8</w:t>
      </w:r>
      <w:r>
        <w:fldChar w:fldCharType="end"/>
      </w:r>
      <w:r>
        <w:rPr>
          <w:rFonts w:hint="eastAsia" w:ascii="宋体" w:hAnsi="宋体" w:eastAsia="宋体" w:cs="宋体"/>
          <w:szCs w:val="24"/>
        </w:rPr>
        <w:fldChar w:fldCharType="end"/>
      </w:r>
    </w:p>
    <w:p w14:paraId="05FF0BB0">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_Toc510 </w:instrText>
      </w:r>
      <w:r>
        <w:rPr>
          <w:rFonts w:hint="eastAsia" w:ascii="宋体" w:hAnsi="宋体" w:eastAsia="宋体" w:cs="宋体"/>
          <w:szCs w:val="24"/>
        </w:rPr>
        <w:fldChar w:fldCharType="separate"/>
      </w:r>
      <w:r>
        <w:rPr>
          <w:rFonts w:hint="eastAsia" w:ascii="宋体" w:hAnsi="宋体"/>
          <w:kern w:val="0"/>
          <w:szCs w:val="24"/>
        </w:rPr>
        <w:t>8 售后服务及技术培训</w:t>
      </w:r>
      <w:r>
        <w:tab/>
      </w:r>
      <w:r>
        <w:fldChar w:fldCharType="begin"/>
      </w:r>
      <w:r>
        <w:instrText xml:space="preserve"> PAGEREF _Toc510 \h </w:instrText>
      </w:r>
      <w:r>
        <w:fldChar w:fldCharType="separate"/>
      </w:r>
      <w:r>
        <w:t>9</w:t>
      </w:r>
      <w:r>
        <w:fldChar w:fldCharType="end"/>
      </w:r>
      <w:r>
        <w:rPr>
          <w:rFonts w:hint="eastAsia" w:ascii="宋体" w:hAnsi="宋体" w:eastAsia="宋体" w:cs="宋体"/>
          <w:szCs w:val="24"/>
        </w:rPr>
        <w:fldChar w:fldCharType="end"/>
      </w:r>
    </w:p>
    <w:p w14:paraId="7B940EEC">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_Toc26401 </w:instrText>
      </w:r>
      <w:r>
        <w:rPr>
          <w:rFonts w:hint="eastAsia" w:ascii="宋体" w:hAnsi="宋体" w:eastAsia="宋体" w:cs="宋体"/>
          <w:szCs w:val="24"/>
        </w:rPr>
        <w:fldChar w:fldCharType="separate"/>
      </w:r>
      <w:r>
        <w:rPr>
          <w:rFonts w:hint="eastAsia" w:ascii="宋体" w:hAnsi="宋体" w:cs="宋体"/>
          <w:kern w:val="0"/>
          <w:szCs w:val="24"/>
        </w:rPr>
        <w:t>9 质量保证</w:t>
      </w:r>
      <w:r>
        <w:tab/>
      </w:r>
      <w:r>
        <w:fldChar w:fldCharType="begin"/>
      </w:r>
      <w:r>
        <w:instrText xml:space="preserve"> PAGEREF _Toc26401 \h </w:instrText>
      </w:r>
      <w:r>
        <w:fldChar w:fldCharType="separate"/>
      </w:r>
      <w:r>
        <w:t>10</w:t>
      </w:r>
      <w:r>
        <w:fldChar w:fldCharType="end"/>
      </w:r>
      <w:r>
        <w:rPr>
          <w:rFonts w:hint="eastAsia" w:ascii="宋体" w:hAnsi="宋体" w:eastAsia="宋体" w:cs="宋体"/>
          <w:szCs w:val="24"/>
        </w:rPr>
        <w:fldChar w:fldCharType="end"/>
      </w:r>
    </w:p>
    <w:p w14:paraId="0E26ECB6">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_Toc28658 </w:instrText>
      </w:r>
      <w:r>
        <w:rPr>
          <w:rFonts w:hint="eastAsia" w:ascii="宋体" w:hAnsi="宋体" w:eastAsia="宋体" w:cs="宋体"/>
          <w:szCs w:val="24"/>
        </w:rPr>
        <w:fldChar w:fldCharType="separate"/>
      </w:r>
      <w:r>
        <w:rPr>
          <w:rFonts w:hint="eastAsia" w:ascii="宋体" w:hAnsi="宋体" w:cs="宋体"/>
          <w:kern w:val="0"/>
          <w:szCs w:val="24"/>
        </w:rPr>
        <w:t>10 包装、运输和贮存</w:t>
      </w:r>
      <w:r>
        <w:tab/>
      </w:r>
      <w:r>
        <w:fldChar w:fldCharType="begin"/>
      </w:r>
      <w:r>
        <w:instrText xml:space="preserve"> PAGEREF _Toc28658 \h </w:instrText>
      </w:r>
      <w:r>
        <w:fldChar w:fldCharType="separate"/>
      </w:r>
      <w:r>
        <w:t>10</w:t>
      </w:r>
      <w:r>
        <w:fldChar w:fldCharType="end"/>
      </w:r>
      <w:r>
        <w:rPr>
          <w:rFonts w:hint="eastAsia" w:ascii="宋体" w:hAnsi="宋体" w:eastAsia="宋体" w:cs="宋体"/>
          <w:szCs w:val="24"/>
        </w:rPr>
        <w:fldChar w:fldCharType="end"/>
      </w:r>
    </w:p>
    <w:p w14:paraId="6D8A9509">
      <w:pPr>
        <w:pStyle w:val="2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rFonts w:hint="eastAsia" w:ascii="宋体" w:hAnsi="宋体" w:eastAsia="宋体" w:cs="宋体"/>
          <w:szCs w:val="24"/>
        </w:rPr>
        <w:fldChar w:fldCharType="end"/>
      </w:r>
      <w:r>
        <w:fldChar w:fldCharType="begin"/>
      </w:r>
      <w:r>
        <w:instrText xml:space="preserve"> HYPERLINK \l _Toc1204 </w:instrText>
      </w:r>
      <w:r>
        <w:fldChar w:fldCharType="separate"/>
      </w:r>
      <w:r>
        <w:fldChar w:fldCharType="end"/>
      </w:r>
    </w:p>
    <w:p w14:paraId="3BF86EF5">
      <w:pPr>
        <w:adjustRightInd w:val="0"/>
        <w:spacing w:line="360" w:lineRule="auto"/>
        <w:textAlignment w:val="baseline"/>
      </w:pPr>
    </w:p>
    <w:p w14:paraId="3A410C97">
      <w:pPr>
        <w:pStyle w:val="31"/>
      </w:pPr>
    </w:p>
    <w:p w14:paraId="2BC17546">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F95EA88">
      <w:pPr>
        <w:pStyle w:val="4"/>
        <w:numPr>
          <w:ilvl w:val="0"/>
          <w:numId w:val="4"/>
        </w:numPr>
        <w:spacing w:before="0" w:after="0" w:line="360" w:lineRule="auto"/>
        <w:rPr>
          <w:rFonts w:hint="eastAsia" w:ascii="宋体" w:hAnsi="宋体" w:cs="宋体"/>
          <w:kern w:val="0"/>
          <w:sz w:val="24"/>
          <w:szCs w:val="24"/>
        </w:rPr>
      </w:pPr>
      <w:bookmarkStart w:id="1" w:name="_Toc27288_WPSOffice_Level1"/>
      <w:bookmarkStart w:id="2" w:name="_Toc32270_WPSOffice_Level1"/>
      <w:bookmarkStart w:id="3" w:name="_Toc28877"/>
      <w:bookmarkStart w:id="4" w:name="_Toc21939"/>
      <w:r>
        <w:rPr>
          <w:rFonts w:hint="eastAsia" w:ascii="宋体" w:hAnsi="宋体" w:cs="宋体"/>
          <w:kern w:val="0"/>
          <w:sz w:val="24"/>
          <w:szCs w:val="24"/>
        </w:rPr>
        <w:t>总则</w:t>
      </w:r>
      <w:bookmarkEnd w:id="1"/>
      <w:bookmarkEnd w:id="2"/>
      <w:bookmarkEnd w:id="3"/>
      <w:bookmarkEnd w:id="4"/>
    </w:p>
    <w:p w14:paraId="1B1DA87C">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2026年南方电网数字电网集团有限公司深圳分公司软硬件产品（堡垒机、日志审计系统、入侵防御系统）投标寻源项目</w:t>
      </w:r>
      <w:r>
        <w:rPr>
          <w:rFonts w:hint="eastAsia" w:ascii="宋体" w:hAnsi="宋体" w:cs="宋体"/>
          <w:sz w:val="24"/>
        </w:rPr>
        <w:t>。</w:t>
      </w:r>
    </w:p>
    <w:p w14:paraId="1ACAA9A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57F8657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5AF1B9A0">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29D2348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1084A2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938C534">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6FA39B49">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FBA8E50">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0B68F6A6">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11532"/>
      <w:r>
        <w:rPr>
          <w:rFonts w:hint="eastAsia" w:ascii="宋体" w:hAnsi="宋体" w:cs="宋体"/>
          <w:kern w:val="0"/>
          <w:sz w:val="24"/>
          <w:szCs w:val="24"/>
          <w:lang w:val="en-US" w:eastAsia="zh-CN"/>
        </w:rPr>
        <w:t>项目概况</w:t>
      </w:r>
      <w:bookmarkEnd w:id="5"/>
    </w:p>
    <w:p w14:paraId="2F90DE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sz w:val="24"/>
          <w:szCs w:val="24"/>
          <w:lang w:val="en-US" w:eastAsia="zh-CN"/>
        </w:rPr>
        <w:t>为满足项目实施交付需求，计划采购堡垒机（配置1）1台。</w:t>
      </w:r>
    </w:p>
    <w:p w14:paraId="4EF7DD86">
      <w:pPr>
        <w:pStyle w:val="4"/>
        <w:numPr>
          <w:ilvl w:val="0"/>
          <w:numId w:val="4"/>
        </w:numPr>
        <w:spacing w:before="0" w:after="0" w:line="360" w:lineRule="auto"/>
        <w:rPr>
          <w:rFonts w:hint="eastAsia" w:ascii="宋体" w:hAnsi="宋体" w:eastAsia="宋体" w:cs="宋体"/>
          <w:b/>
          <w:bCs/>
          <w:kern w:val="0"/>
          <w:sz w:val="24"/>
          <w:szCs w:val="24"/>
        </w:rPr>
      </w:pPr>
      <w:bookmarkStart w:id="6" w:name="_Toc18031_WPSOffice_Level1"/>
      <w:bookmarkStart w:id="7" w:name="_Toc24890_WPSOffice_Level1"/>
      <w:bookmarkStart w:id="8" w:name="_Toc317067398"/>
      <w:bookmarkStart w:id="9" w:name="_Toc3695"/>
      <w:bookmarkStart w:id="10" w:name="_Toc317690117"/>
      <w:bookmarkStart w:id="11" w:name="_Toc317689829"/>
      <w:bookmarkStart w:id="12" w:name="_Toc19546"/>
      <w:r>
        <w:rPr>
          <w:rFonts w:hint="eastAsia" w:ascii="宋体" w:hAnsi="宋体" w:eastAsia="宋体" w:cs="宋体"/>
          <w:b/>
          <w:bCs/>
          <w:kern w:val="0"/>
          <w:sz w:val="24"/>
          <w:szCs w:val="24"/>
        </w:rPr>
        <w:t>工作范围</w:t>
      </w:r>
      <w:bookmarkEnd w:id="6"/>
      <w:bookmarkEnd w:id="7"/>
      <w:bookmarkEnd w:id="8"/>
      <w:bookmarkEnd w:id="9"/>
      <w:bookmarkEnd w:id="10"/>
      <w:bookmarkEnd w:id="11"/>
      <w:bookmarkEnd w:id="12"/>
    </w:p>
    <w:p w14:paraId="1F4741F7">
      <w:pPr>
        <w:numPr>
          <w:ilvl w:val="1"/>
          <w:numId w:val="4"/>
        </w:numPr>
        <w:adjustRightInd w:val="0"/>
        <w:spacing w:line="360" w:lineRule="auto"/>
        <w:ind w:left="0" w:firstLine="0"/>
        <w:outlineLvl w:val="1"/>
        <w:rPr>
          <w:rFonts w:hint="eastAsia" w:ascii="宋体" w:hAnsi="宋体" w:cs="宋体"/>
          <w:sz w:val="24"/>
        </w:rPr>
      </w:pPr>
      <w:bookmarkStart w:id="13" w:name="_Toc317690119"/>
      <w:bookmarkStart w:id="14" w:name="_Toc317067400"/>
      <w:bookmarkStart w:id="15" w:name="_Toc317689831"/>
      <w:bookmarkStart w:id="16" w:name="_Toc8887_WPSOffice_Level1"/>
      <w:bookmarkStart w:id="17" w:name="_Toc924_WPSOffice_Level1"/>
      <w:bookmarkStart w:id="18" w:name="_Toc18434"/>
      <w:r>
        <w:rPr>
          <w:rFonts w:hint="eastAsia" w:ascii="宋体" w:hAnsi="宋体" w:cs="宋体"/>
          <w:sz w:val="24"/>
        </w:rPr>
        <w:t>服务界限</w:t>
      </w:r>
      <w:bookmarkEnd w:id="13"/>
      <w:bookmarkEnd w:id="14"/>
      <w:bookmarkEnd w:id="15"/>
    </w:p>
    <w:p w14:paraId="11977389">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055116DB">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26F103F2">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2AE6FBB9">
      <w:pPr>
        <w:pStyle w:val="4"/>
        <w:numPr>
          <w:ilvl w:val="0"/>
          <w:numId w:val="4"/>
        </w:numPr>
        <w:spacing w:before="0" w:after="0" w:line="360" w:lineRule="auto"/>
        <w:rPr>
          <w:rFonts w:hint="eastAsia" w:ascii="宋体" w:hAnsi="宋体" w:cs="宋体"/>
          <w:kern w:val="0"/>
          <w:sz w:val="24"/>
          <w:szCs w:val="24"/>
        </w:rPr>
      </w:pPr>
      <w:bookmarkStart w:id="19" w:name="_Toc20800"/>
      <w:r>
        <w:rPr>
          <w:rFonts w:hint="eastAsia" w:ascii="宋体" w:hAnsi="宋体" w:cs="宋体"/>
          <w:kern w:val="0"/>
          <w:sz w:val="24"/>
          <w:szCs w:val="24"/>
        </w:rPr>
        <w:t>引用标准</w:t>
      </w:r>
      <w:bookmarkEnd w:id="16"/>
      <w:bookmarkEnd w:id="17"/>
      <w:bookmarkEnd w:id="18"/>
      <w:bookmarkEnd w:id="19"/>
    </w:p>
    <w:p w14:paraId="07CEFF95">
      <w:pPr>
        <w:spacing w:line="360" w:lineRule="auto"/>
        <w:ind w:firstLine="420"/>
        <w:rPr>
          <w:rFonts w:hint="eastAsia" w:ascii="宋体" w:hAnsi="宋体" w:cs="宋体"/>
          <w:sz w:val="24"/>
        </w:rPr>
      </w:pPr>
      <w:bookmarkStart w:id="20" w:name="FLDBZBH"/>
      <w:bookmarkEnd w:id="20"/>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7BCA76E4">
      <w:pPr>
        <w:spacing w:line="360" w:lineRule="auto"/>
        <w:rPr>
          <w:rFonts w:hint="eastAsia" w:ascii="宋体" w:hAnsi="宋体" w:cs="宋体"/>
          <w:sz w:val="24"/>
        </w:rPr>
      </w:pPr>
      <w:r>
        <w:rPr>
          <w:rFonts w:hint="eastAsia" w:ascii="宋体" w:hAnsi="宋体" w:cs="宋体"/>
          <w:sz w:val="24"/>
        </w:rPr>
        <w:t>（1）GB-------中华人民共和国国家标准</w:t>
      </w:r>
    </w:p>
    <w:p w14:paraId="7EC2275A">
      <w:pPr>
        <w:spacing w:line="360" w:lineRule="auto"/>
        <w:rPr>
          <w:rFonts w:hint="eastAsia" w:ascii="宋体" w:hAnsi="宋体" w:cs="宋体"/>
          <w:sz w:val="24"/>
        </w:rPr>
      </w:pPr>
      <w:r>
        <w:rPr>
          <w:rFonts w:hint="eastAsia" w:ascii="宋体" w:hAnsi="宋体" w:cs="宋体"/>
          <w:sz w:val="24"/>
        </w:rPr>
        <w:t>（2）DL-------中华人民共和国电力行业标准</w:t>
      </w:r>
    </w:p>
    <w:p w14:paraId="52808007">
      <w:pPr>
        <w:spacing w:line="360" w:lineRule="auto"/>
        <w:rPr>
          <w:rFonts w:hint="eastAsia" w:ascii="宋体" w:hAnsi="宋体" w:cs="宋体"/>
          <w:sz w:val="24"/>
        </w:rPr>
      </w:pPr>
      <w:r>
        <w:rPr>
          <w:rFonts w:hint="eastAsia" w:ascii="宋体" w:hAnsi="宋体" w:cs="宋体"/>
          <w:sz w:val="24"/>
        </w:rPr>
        <w:t>（3）《电力二次系统安全防护规定》</w:t>
      </w:r>
    </w:p>
    <w:p w14:paraId="5237B416">
      <w:pPr>
        <w:spacing w:line="360" w:lineRule="auto"/>
        <w:rPr>
          <w:rFonts w:hint="eastAsia" w:ascii="宋体" w:hAnsi="宋体" w:cs="宋体"/>
          <w:sz w:val="24"/>
        </w:rPr>
      </w:pPr>
      <w:r>
        <w:rPr>
          <w:rFonts w:hint="eastAsia" w:ascii="宋体" w:hAnsi="宋体" w:cs="宋体"/>
          <w:sz w:val="24"/>
        </w:rPr>
        <w:t>（4）中国信息安全测评中心</w:t>
      </w:r>
    </w:p>
    <w:p w14:paraId="26420571">
      <w:pPr>
        <w:spacing w:line="360" w:lineRule="auto"/>
        <w:rPr>
          <w:rFonts w:hint="eastAsia" w:ascii="宋体" w:hAnsi="宋体" w:cs="宋体"/>
          <w:sz w:val="24"/>
        </w:rPr>
      </w:pPr>
      <w:r>
        <w:rPr>
          <w:rFonts w:hint="eastAsia" w:ascii="宋体" w:hAnsi="宋体" w:cs="宋体"/>
          <w:sz w:val="24"/>
        </w:rPr>
        <w:t>（5）国家保密科技测评中心</w:t>
      </w:r>
    </w:p>
    <w:p w14:paraId="7FCBDDB7">
      <w:pPr>
        <w:spacing w:line="360" w:lineRule="auto"/>
        <w:rPr>
          <w:rFonts w:hint="eastAsia" w:ascii="宋体" w:hAnsi="宋体" w:cs="宋体"/>
          <w:sz w:val="24"/>
        </w:rPr>
      </w:pPr>
      <w:r>
        <w:rPr>
          <w:rFonts w:hint="eastAsia" w:ascii="宋体" w:hAnsi="宋体" w:cs="宋体"/>
          <w:sz w:val="24"/>
        </w:rPr>
        <w:t>（6）ISO------国际标准化组织标准</w:t>
      </w:r>
    </w:p>
    <w:p w14:paraId="69052480">
      <w:pPr>
        <w:spacing w:line="360" w:lineRule="auto"/>
        <w:rPr>
          <w:rFonts w:hint="eastAsia" w:ascii="宋体" w:hAnsi="宋体" w:cs="宋体"/>
          <w:sz w:val="24"/>
        </w:rPr>
      </w:pPr>
      <w:r>
        <w:rPr>
          <w:rFonts w:hint="eastAsia" w:ascii="宋体" w:hAnsi="宋体" w:cs="宋体"/>
          <w:sz w:val="24"/>
        </w:rPr>
        <w:t>（7）IEC------国际电工委员会标准</w:t>
      </w:r>
    </w:p>
    <w:p w14:paraId="5B4E33A3">
      <w:pPr>
        <w:spacing w:line="360" w:lineRule="auto"/>
        <w:rPr>
          <w:rFonts w:hint="eastAsia" w:ascii="宋体" w:hAnsi="宋体" w:cs="宋体"/>
          <w:sz w:val="24"/>
        </w:rPr>
      </w:pPr>
      <w:r>
        <w:rPr>
          <w:rFonts w:hint="eastAsia" w:ascii="宋体" w:hAnsi="宋体" w:cs="宋体"/>
          <w:sz w:val="24"/>
        </w:rPr>
        <w:t>（8）ITU-T----国际电信联盟标准</w:t>
      </w:r>
    </w:p>
    <w:p w14:paraId="1A711E6D">
      <w:pPr>
        <w:spacing w:line="360" w:lineRule="auto"/>
        <w:rPr>
          <w:rFonts w:hint="eastAsia" w:ascii="宋体" w:hAnsi="宋体" w:cs="宋体"/>
          <w:sz w:val="24"/>
        </w:rPr>
      </w:pPr>
      <w:r>
        <w:rPr>
          <w:rFonts w:hint="eastAsia" w:ascii="宋体" w:hAnsi="宋体" w:cs="宋体"/>
          <w:sz w:val="24"/>
        </w:rPr>
        <w:t>（9）CCITT ------国际电报和电话咨询委员会</w:t>
      </w:r>
    </w:p>
    <w:p w14:paraId="36FCEE69">
      <w:pPr>
        <w:spacing w:line="360" w:lineRule="auto"/>
        <w:rPr>
          <w:rFonts w:hint="eastAsia" w:ascii="宋体" w:hAnsi="宋体" w:cs="宋体"/>
          <w:sz w:val="24"/>
        </w:rPr>
      </w:pPr>
      <w:r>
        <w:rPr>
          <w:rFonts w:hint="eastAsia" w:ascii="宋体" w:hAnsi="宋体" w:cs="宋体"/>
          <w:sz w:val="24"/>
        </w:rPr>
        <w:t>（10）ITU------国际电信联盟</w:t>
      </w:r>
    </w:p>
    <w:p w14:paraId="2DB9C494">
      <w:pPr>
        <w:spacing w:line="360" w:lineRule="auto"/>
        <w:rPr>
          <w:rFonts w:hint="eastAsia" w:ascii="宋体" w:hAnsi="宋体" w:cs="宋体"/>
          <w:sz w:val="24"/>
        </w:rPr>
      </w:pPr>
      <w:r>
        <w:rPr>
          <w:rFonts w:hint="eastAsia" w:ascii="宋体" w:hAnsi="宋体" w:cs="宋体"/>
          <w:sz w:val="24"/>
        </w:rPr>
        <w:t>（11）SI------标准国际单位制</w:t>
      </w:r>
    </w:p>
    <w:p w14:paraId="3B51EB21">
      <w:pPr>
        <w:spacing w:line="360" w:lineRule="auto"/>
        <w:rPr>
          <w:rFonts w:hint="eastAsia" w:ascii="宋体" w:hAnsi="宋体" w:cs="宋体"/>
          <w:sz w:val="24"/>
          <w:highlight w:val="none"/>
        </w:rPr>
      </w:pPr>
      <w:r>
        <w:rPr>
          <w:rFonts w:hint="eastAsia" w:ascii="宋体" w:hAnsi="宋体" w:cs="宋体"/>
          <w:sz w:val="24"/>
        </w:rPr>
        <w:t>（12）其它招标方指定的规约</w:t>
      </w:r>
    </w:p>
    <w:p w14:paraId="4F96CDF1">
      <w:pPr>
        <w:pStyle w:val="4"/>
        <w:numPr>
          <w:ilvl w:val="0"/>
          <w:numId w:val="4"/>
        </w:numPr>
        <w:spacing w:before="0" w:after="0" w:line="360" w:lineRule="auto"/>
        <w:rPr>
          <w:rFonts w:hint="eastAsia" w:ascii="宋体" w:hAnsi="宋体" w:cs="宋体"/>
          <w:kern w:val="0"/>
          <w:sz w:val="24"/>
          <w:szCs w:val="24"/>
        </w:rPr>
      </w:pPr>
      <w:bookmarkStart w:id="21" w:name="_Toc221617187"/>
      <w:bookmarkEnd w:id="21"/>
      <w:bookmarkStart w:id="22" w:name="_Toc221617189"/>
      <w:bookmarkEnd w:id="22"/>
      <w:bookmarkStart w:id="23" w:name="_Toc221610058"/>
      <w:bookmarkEnd w:id="23"/>
      <w:bookmarkStart w:id="24" w:name="_Toc221610059"/>
      <w:bookmarkEnd w:id="24"/>
      <w:bookmarkStart w:id="25" w:name="_Toc221619631"/>
      <w:bookmarkEnd w:id="25"/>
      <w:bookmarkStart w:id="26" w:name="_Toc221619634"/>
      <w:bookmarkEnd w:id="26"/>
      <w:bookmarkStart w:id="27" w:name="_Toc221610057"/>
      <w:bookmarkEnd w:id="27"/>
      <w:bookmarkStart w:id="28" w:name="_Toc221617188"/>
      <w:bookmarkEnd w:id="28"/>
      <w:bookmarkStart w:id="29" w:name="_Toc221619633"/>
      <w:bookmarkEnd w:id="29"/>
      <w:bookmarkStart w:id="30" w:name="_Toc221617186"/>
      <w:bookmarkEnd w:id="30"/>
      <w:bookmarkStart w:id="31" w:name="_Toc221619632"/>
      <w:bookmarkEnd w:id="31"/>
      <w:bookmarkStart w:id="32" w:name="_Toc221610060"/>
      <w:bookmarkEnd w:id="32"/>
      <w:bookmarkStart w:id="33" w:name="_Toc15695"/>
      <w:bookmarkStart w:id="34" w:name="_Toc4389_WPSOffice_Level1"/>
      <w:bookmarkStart w:id="35" w:name="_Toc27549_WPSOffice_Level1"/>
      <w:bookmarkStart w:id="36" w:name="_Toc15293"/>
      <w:r>
        <w:rPr>
          <w:rFonts w:hint="eastAsia" w:ascii="宋体" w:hAnsi="宋体" w:cs="宋体"/>
          <w:kern w:val="0"/>
          <w:sz w:val="24"/>
          <w:szCs w:val="24"/>
        </w:rPr>
        <w:t>使用环境要求</w:t>
      </w:r>
      <w:bookmarkEnd w:id="33"/>
    </w:p>
    <w:p w14:paraId="6AE23776">
      <w:pPr>
        <w:pStyle w:val="74"/>
        <w:keepLines w:val="0"/>
        <w:pageBreakBefore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本设备招</w:t>
      </w:r>
      <w:r>
        <w:rPr>
          <w:rFonts w:hint="eastAsia" w:ascii="Times New Roman" w:hAnsi="Times New Roman" w:eastAsia="宋体" w:cs="Times New Roman"/>
          <w:sz w:val="24"/>
          <w:szCs w:val="24"/>
          <w:highlight w:val="none"/>
          <w:lang w:eastAsia="zh-CN"/>
        </w:rPr>
        <w:t>技术规范书</w:t>
      </w:r>
      <w:r>
        <w:rPr>
          <w:rFonts w:hint="eastAsia" w:ascii="Times New Roman" w:hAnsi="Times New Roman" w:eastAsia="宋体" w:cs="Times New Roman"/>
          <w:sz w:val="24"/>
          <w:szCs w:val="24"/>
          <w:highlight w:val="none"/>
        </w:rPr>
        <w:t>技术文件需要采购的设备，其外部使用条件</w:t>
      </w:r>
      <w:r>
        <w:rPr>
          <w:rFonts w:hint="eastAsia" w:ascii="Times New Roman" w:hAnsi="Times New Roman" w:eastAsia="宋体" w:cs="Times New Roman"/>
          <w:sz w:val="24"/>
          <w:szCs w:val="24"/>
          <w:highlight w:val="none"/>
          <w:lang w:val="en-US" w:eastAsia="zh-CN"/>
        </w:rPr>
        <w:t>如下</w:t>
      </w:r>
      <w:r>
        <w:rPr>
          <w:rFonts w:hint="eastAsia" w:ascii="Times New Roman" w:hAnsi="Times New Roman" w:eastAsia="宋体" w:cs="Times New Roman"/>
          <w:sz w:val="24"/>
          <w:szCs w:val="24"/>
          <w:highlight w:val="none"/>
        </w:rPr>
        <w:t>。</w:t>
      </w:r>
      <w:r>
        <w:rPr>
          <w:rFonts w:hint="eastAsia" w:eastAsia="宋体" w:cs="Times New Roman"/>
          <w:sz w:val="24"/>
          <w:szCs w:val="24"/>
          <w:highlight w:val="none"/>
          <w:lang w:eastAsia="zh-CN"/>
        </w:rPr>
        <w:t>报价人</w:t>
      </w:r>
      <w:r>
        <w:rPr>
          <w:rFonts w:hint="eastAsia" w:ascii="Times New Roman" w:hAnsi="Times New Roman" w:eastAsia="宋体" w:cs="Times New Roman"/>
          <w:sz w:val="24"/>
          <w:szCs w:val="24"/>
          <w:highlight w:val="none"/>
        </w:rPr>
        <w:t>应对所提供的设备性能参数在外部条件下进行校验、核对，使所供设备满足实际外部条件要求及全工况运行要求。</w:t>
      </w:r>
    </w:p>
    <w:p w14:paraId="1B7A85A0">
      <w:pPr>
        <w:pStyle w:val="74"/>
        <w:keepLines w:val="0"/>
        <w:pageBreakBefore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4.1</w:t>
      </w:r>
      <w:r>
        <w:rPr>
          <w:rFonts w:hint="eastAsia" w:eastAsia="宋体" w:cs="Times New Roman"/>
          <w:sz w:val="24"/>
          <w:szCs w:val="24"/>
          <w:highlight w:val="none"/>
          <w:lang w:val="en-US" w:eastAsia="zh-CN"/>
        </w:rPr>
        <w:t>设备</w:t>
      </w:r>
      <w:r>
        <w:rPr>
          <w:rFonts w:hint="eastAsia" w:ascii="Times New Roman" w:hAnsi="Times New Roman" w:eastAsia="宋体" w:cs="Times New Roman"/>
          <w:sz w:val="24"/>
          <w:szCs w:val="24"/>
          <w:highlight w:val="none"/>
          <w:lang w:val="en-US" w:eastAsia="zh-CN"/>
        </w:rPr>
        <w:t>使用环境</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964"/>
        <w:gridCol w:w="2376"/>
        <w:gridCol w:w="2127"/>
        <w:gridCol w:w="1885"/>
      </w:tblGrid>
      <w:tr w14:paraId="37E76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121AB9DC">
            <w:pPr>
              <w:jc w:val="center"/>
              <w:rPr>
                <w:rFonts w:hint="eastAsia" w:ascii="宋体" w:hAnsi="宋体"/>
                <w:color w:val="auto"/>
                <w:szCs w:val="21"/>
              </w:rPr>
            </w:pPr>
            <w:r>
              <w:rPr>
                <w:rFonts w:hint="eastAsia" w:ascii="宋体" w:hAnsi="宋体"/>
                <w:color w:val="auto"/>
                <w:szCs w:val="21"/>
              </w:rPr>
              <w:t>序号</w:t>
            </w:r>
          </w:p>
        </w:tc>
        <w:tc>
          <w:tcPr>
            <w:tcW w:w="1964" w:type="dxa"/>
            <w:vAlign w:val="center"/>
          </w:tcPr>
          <w:p w14:paraId="4E930B5B">
            <w:pPr>
              <w:jc w:val="center"/>
              <w:rPr>
                <w:rFonts w:hint="eastAsia" w:ascii="宋体" w:hAnsi="宋体"/>
                <w:color w:val="auto"/>
                <w:szCs w:val="21"/>
              </w:rPr>
            </w:pPr>
            <w:r>
              <w:rPr>
                <w:rFonts w:ascii="宋体" w:hAnsi="宋体"/>
                <w:color w:val="auto"/>
                <w:szCs w:val="21"/>
              </w:rPr>
              <w:t>名  称</w:t>
            </w:r>
          </w:p>
        </w:tc>
        <w:tc>
          <w:tcPr>
            <w:tcW w:w="2376" w:type="dxa"/>
            <w:vAlign w:val="center"/>
          </w:tcPr>
          <w:p w14:paraId="56CEC6B1">
            <w:pPr>
              <w:jc w:val="center"/>
              <w:rPr>
                <w:rFonts w:hint="eastAsia" w:ascii="宋体" w:hAnsi="宋体"/>
                <w:color w:val="auto"/>
                <w:szCs w:val="21"/>
              </w:rPr>
            </w:pPr>
            <w:r>
              <w:rPr>
                <w:rFonts w:hint="eastAsia" w:ascii="宋体" w:hAnsi="宋体"/>
                <w:color w:val="auto"/>
                <w:szCs w:val="21"/>
              </w:rPr>
              <w:t>项目要求值</w:t>
            </w:r>
          </w:p>
        </w:tc>
        <w:tc>
          <w:tcPr>
            <w:tcW w:w="2127" w:type="dxa"/>
            <w:vAlign w:val="center"/>
          </w:tcPr>
          <w:p w14:paraId="3E0925C6">
            <w:pPr>
              <w:jc w:val="center"/>
              <w:rPr>
                <w:rFonts w:hint="eastAsia" w:ascii="宋体" w:hAnsi="宋体"/>
                <w:color w:val="auto"/>
                <w:szCs w:val="21"/>
              </w:rPr>
            </w:pPr>
            <w:r>
              <w:rPr>
                <w:rFonts w:hint="eastAsia" w:ascii="宋体" w:hAnsi="宋体"/>
                <w:color w:val="auto"/>
                <w:szCs w:val="21"/>
                <w:lang w:eastAsia="zh-CN"/>
              </w:rPr>
              <w:t>报价人</w:t>
            </w:r>
            <w:r>
              <w:rPr>
                <w:rFonts w:ascii="宋体" w:hAnsi="宋体"/>
                <w:color w:val="auto"/>
                <w:szCs w:val="21"/>
              </w:rPr>
              <w:t>保证值</w:t>
            </w:r>
          </w:p>
        </w:tc>
        <w:tc>
          <w:tcPr>
            <w:tcW w:w="1885" w:type="dxa"/>
            <w:vAlign w:val="center"/>
          </w:tcPr>
          <w:p w14:paraId="78AE964C">
            <w:pPr>
              <w:jc w:val="center"/>
              <w:rPr>
                <w:rFonts w:hint="eastAsia" w:ascii="宋体" w:hAnsi="宋体"/>
                <w:color w:val="auto"/>
                <w:szCs w:val="21"/>
              </w:rPr>
            </w:pPr>
            <w:r>
              <w:rPr>
                <w:rFonts w:hint="eastAsia" w:ascii="宋体" w:hAnsi="宋体"/>
                <w:color w:val="auto"/>
                <w:szCs w:val="21"/>
              </w:rPr>
              <w:t>备注</w:t>
            </w:r>
          </w:p>
        </w:tc>
      </w:tr>
      <w:tr w14:paraId="4AA104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75568A4F">
            <w:pPr>
              <w:rPr>
                <w:rFonts w:hint="eastAsia" w:ascii="宋体" w:hAnsi="宋体"/>
                <w:color w:val="auto"/>
                <w:szCs w:val="21"/>
              </w:rPr>
            </w:pPr>
            <w:r>
              <w:rPr>
                <w:rFonts w:hint="eastAsia" w:ascii="宋体" w:hAnsi="宋体"/>
                <w:color w:val="auto"/>
                <w:szCs w:val="21"/>
              </w:rPr>
              <w:t>1</w:t>
            </w:r>
          </w:p>
        </w:tc>
        <w:tc>
          <w:tcPr>
            <w:tcW w:w="1964" w:type="dxa"/>
            <w:vAlign w:val="center"/>
          </w:tcPr>
          <w:p w14:paraId="3DD2BCC2">
            <w:pPr>
              <w:jc w:val="center"/>
              <w:rPr>
                <w:rFonts w:hint="eastAsia" w:ascii="宋体" w:hAnsi="宋体"/>
                <w:color w:val="auto"/>
                <w:szCs w:val="21"/>
              </w:rPr>
            </w:pPr>
            <w:r>
              <w:rPr>
                <w:rFonts w:hint="eastAsia" w:ascii="宋体" w:hAnsi="宋体"/>
                <w:color w:val="auto"/>
                <w:szCs w:val="21"/>
              </w:rPr>
              <w:t>长期工作环境温度</w:t>
            </w:r>
          </w:p>
        </w:tc>
        <w:tc>
          <w:tcPr>
            <w:tcW w:w="2376" w:type="dxa"/>
            <w:vAlign w:val="center"/>
          </w:tcPr>
          <w:p w14:paraId="3E76AC0B">
            <w:pPr>
              <w:rPr>
                <w:rFonts w:hint="eastAsia" w:ascii="宋体" w:hAnsi="宋体"/>
                <w:color w:val="auto"/>
                <w:szCs w:val="21"/>
              </w:rPr>
            </w:pPr>
            <w:r>
              <w:rPr>
                <w:rFonts w:ascii="宋体" w:hAnsi="宋体" w:cs="宋体"/>
                <w:color w:val="auto"/>
                <w:sz w:val="24"/>
              </w:rPr>
              <w:t>10℃～35℃</w:t>
            </w:r>
          </w:p>
        </w:tc>
        <w:tc>
          <w:tcPr>
            <w:tcW w:w="2127" w:type="dxa"/>
            <w:vAlign w:val="center"/>
          </w:tcPr>
          <w:p w14:paraId="2B72F308">
            <w:pPr>
              <w:spacing w:line="360" w:lineRule="auto"/>
              <w:jc w:val="center"/>
              <w:rPr>
                <w:rFonts w:hint="eastAsia" w:ascii="宋体" w:hAnsi="宋体"/>
                <w:color w:val="auto"/>
                <w:sz w:val="24"/>
              </w:rPr>
            </w:pPr>
          </w:p>
        </w:tc>
        <w:tc>
          <w:tcPr>
            <w:tcW w:w="1885" w:type="dxa"/>
            <w:vAlign w:val="center"/>
          </w:tcPr>
          <w:p w14:paraId="2DC38BC1">
            <w:pPr>
              <w:spacing w:line="360" w:lineRule="auto"/>
              <w:jc w:val="center"/>
              <w:rPr>
                <w:rFonts w:hint="eastAsia" w:ascii="宋体" w:hAnsi="宋体"/>
                <w:color w:val="auto"/>
                <w:sz w:val="24"/>
              </w:rPr>
            </w:pPr>
          </w:p>
        </w:tc>
      </w:tr>
      <w:tr w14:paraId="71A4EF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02D590A1">
            <w:pPr>
              <w:rPr>
                <w:rFonts w:hint="eastAsia" w:ascii="宋体" w:hAnsi="宋体"/>
                <w:color w:val="auto"/>
                <w:szCs w:val="21"/>
              </w:rPr>
            </w:pPr>
            <w:r>
              <w:rPr>
                <w:rFonts w:hint="eastAsia" w:ascii="宋体" w:hAnsi="宋体"/>
                <w:color w:val="auto"/>
                <w:szCs w:val="21"/>
              </w:rPr>
              <w:t>2</w:t>
            </w:r>
          </w:p>
        </w:tc>
        <w:tc>
          <w:tcPr>
            <w:tcW w:w="1964" w:type="dxa"/>
            <w:vAlign w:val="center"/>
          </w:tcPr>
          <w:p w14:paraId="4E87FFE4">
            <w:pPr>
              <w:jc w:val="center"/>
              <w:rPr>
                <w:rFonts w:hint="eastAsia" w:ascii="宋体" w:hAnsi="宋体"/>
                <w:color w:val="auto"/>
                <w:szCs w:val="21"/>
              </w:rPr>
            </w:pPr>
            <w:r>
              <w:rPr>
                <w:rFonts w:hint="eastAsia" w:ascii="宋体" w:hAnsi="宋体"/>
                <w:color w:val="auto"/>
                <w:szCs w:val="21"/>
              </w:rPr>
              <w:t>存储温度</w:t>
            </w:r>
          </w:p>
        </w:tc>
        <w:tc>
          <w:tcPr>
            <w:tcW w:w="2376" w:type="dxa"/>
            <w:vAlign w:val="center"/>
          </w:tcPr>
          <w:p w14:paraId="2AE40A3A">
            <w:pPr>
              <w:rPr>
                <w:rFonts w:hint="eastAsia" w:ascii="宋体" w:hAnsi="宋体"/>
                <w:color w:val="auto"/>
                <w:szCs w:val="21"/>
              </w:rPr>
            </w:pPr>
            <w:r>
              <w:rPr>
                <w:rFonts w:hint="eastAsia"/>
                <w:color w:val="auto"/>
                <w:sz w:val="24"/>
              </w:rPr>
              <w:t>0</w:t>
            </w:r>
            <w:r>
              <w:rPr>
                <w:rFonts w:ascii="宋体" w:hAnsi="宋体"/>
                <w:color w:val="auto"/>
                <w:sz w:val="24"/>
              </w:rPr>
              <w:t>℃</w:t>
            </w:r>
            <w:r>
              <w:rPr>
                <w:rFonts w:hAnsi="宋体"/>
                <w:color w:val="auto"/>
                <w:sz w:val="24"/>
              </w:rPr>
              <w:t>～</w:t>
            </w:r>
            <w:r>
              <w:rPr>
                <w:color w:val="auto"/>
                <w:sz w:val="24"/>
              </w:rPr>
              <w:t>55</w:t>
            </w:r>
            <w:r>
              <w:rPr>
                <w:rFonts w:ascii="宋体" w:hAnsi="宋体"/>
                <w:color w:val="auto"/>
                <w:sz w:val="24"/>
              </w:rPr>
              <w:t>℃</w:t>
            </w:r>
          </w:p>
        </w:tc>
        <w:tc>
          <w:tcPr>
            <w:tcW w:w="2127" w:type="dxa"/>
            <w:vAlign w:val="center"/>
          </w:tcPr>
          <w:p w14:paraId="49CD27B8">
            <w:pPr>
              <w:spacing w:line="360" w:lineRule="auto"/>
              <w:jc w:val="center"/>
              <w:rPr>
                <w:rFonts w:hint="eastAsia" w:ascii="宋体" w:hAnsi="宋体"/>
                <w:color w:val="auto"/>
                <w:szCs w:val="21"/>
              </w:rPr>
            </w:pPr>
          </w:p>
        </w:tc>
        <w:tc>
          <w:tcPr>
            <w:tcW w:w="1885" w:type="dxa"/>
            <w:vAlign w:val="center"/>
          </w:tcPr>
          <w:p w14:paraId="3A003015">
            <w:pPr>
              <w:spacing w:line="360" w:lineRule="auto"/>
              <w:jc w:val="center"/>
              <w:rPr>
                <w:rFonts w:hint="eastAsia" w:ascii="宋体" w:hAnsi="宋体"/>
                <w:color w:val="auto"/>
                <w:sz w:val="24"/>
              </w:rPr>
            </w:pPr>
          </w:p>
        </w:tc>
      </w:tr>
      <w:tr w14:paraId="3E9DF9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31F9967B">
            <w:pPr>
              <w:rPr>
                <w:rFonts w:hint="eastAsia" w:ascii="宋体" w:hAnsi="宋体"/>
                <w:color w:val="auto"/>
                <w:szCs w:val="21"/>
              </w:rPr>
            </w:pPr>
            <w:r>
              <w:rPr>
                <w:rFonts w:hint="eastAsia" w:ascii="宋体" w:hAnsi="宋体"/>
                <w:color w:val="auto"/>
                <w:szCs w:val="21"/>
              </w:rPr>
              <w:t>3</w:t>
            </w:r>
          </w:p>
        </w:tc>
        <w:tc>
          <w:tcPr>
            <w:tcW w:w="1964" w:type="dxa"/>
            <w:vAlign w:val="center"/>
          </w:tcPr>
          <w:p w14:paraId="4D2A1DE1">
            <w:pPr>
              <w:jc w:val="center"/>
              <w:rPr>
                <w:rFonts w:hint="eastAsia" w:ascii="宋体" w:hAnsi="宋体"/>
                <w:color w:val="auto"/>
                <w:szCs w:val="21"/>
              </w:rPr>
            </w:pPr>
            <w:r>
              <w:rPr>
                <w:rFonts w:hint="eastAsia" w:ascii="宋体" w:hAnsi="宋体"/>
                <w:color w:val="auto"/>
                <w:szCs w:val="21"/>
              </w:rPr>
              <w:t>长期工作环境相对湿度</w:t>
            </w:r>
          </w:p>
        </w:tc>
        <w:tc>
          <w:tcPr>
            <w:tcW w:w="2376" w:type="dxa"/>
            <w:vAlign w:val="center"/>
          </w:tcPr>
          <w:p w14:paraId="33F1C621">
            <w:pPr>
              <w:rPr>
                <w:rFonts w:hint="eastAsia" w:ascii="宋体" w:hAnsi="宋体"/>
                <w:color w:val="auto"/>
                <w:szCs w:val="21"/>
              </w:rPr>
            </w:pPr>
            <w:r>
              <w:rPr>
                <w:rFonts w:ascii="宋体" w:hAnsi="宋体" w:cs="宋体"/>
                <w:color w:val="auto"/>
                <w:sz w:val="24"/>
              </w:rPr>
              <w:t>35%～80%</w:t>
            </w:r>
          </w:p>
        </w:tc>
        <w:tc>
          <w:tcPr>
            <w:tcW w:w="2127" w:type="dxa"/>
            <w:vAlign w:val="center"/>
          </w:tcPr>
          <w:p w14:paraId="012EA116">
            <w:pPr>
              <w:spacing w:line="360" w:lineRule="auto"/>
              <w:jc w:val="center"/>
              <w:rPr>
                <w:rFonts w:hint="eastAsia" w:ascii="宋体" w:hAnsi="宋体"/>
                <w:color w:val="auto"/>
                <w:sz w:val="24"/>
              </w:rPr>
            </w:pPr>
          </w:p>
        </w:tc>
        <w:tc>
          <w:tcPr>
            <w:tcW w:w="1885" w:type="dxa"/>
            <w:vAlign w:val="center"/>
          </w:tcPr>
          <w:p w14:paraId="12691396">
            <w:pPr>
              <w:spacing w:line="360" w:lineRule="auto"/>
              <w:jc w:val="center"/>
              <w:rPr>
                <w:rFonts w:hint="eastAsia" w:ascii="宋体" w:hAnsi="宋体"/>
                <w:color w:val="auto"/>
                <w:sz w:val="24"/>
              </w:rPr>
            </w:pPr>
          </w:p>
        </w:tc>
      </w:tr>
      <w:tr w14:paraId="7C5533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45106E03">
            <w:pPr>
              <w:rPr>
                <w:rFonts w:hint="eastAsia" w:ascii="宋体" w:hAnsi="宋体"/>
                <w:color w:val="auto"/>
                <w:szCs w:val="21"/>
              </w:rPr>
            </w:pPr>
            <w:r>
              <w:rPr>
                <w:rFonts w:hint="eastAsia" w:ascii="宋体" w:hAnsi="宋体"/>
                <w:color w:val="auto"/>
                <w:szCs w:val="21"/>
              </w:rPr>
              <w:t>4</w:t>
            </w:r>
          </w:p>
        </w:tc>
        <w:tc>
          <w:tcPr>
            <w:tcW w:w="1964" w:type="dxa"/>
            <w:vAlign w:val="center"/>
          </w:tcPr>
          <w:p w14:paraId="2C1E195C">
            <w:pPr>
              <w:jc w:val="center"/>
              <w:rPr>
                <w:rFonts w:hint="eastAsia" w:ascii="宋体" w:hAnsi="宋体"/>
                <w:color w:val="auto"/>
                <w:szCs w:val="21"/>
              </w:rPr>
            </w:pPr>
            <w:r>
              <w:rPr>
                <w:rFonts w:hint="eastAsia" w:ascii="宋体" w:hAnsi="宋体"/>
                <w:color w:val="auto"/>
                <w:szCs w:val="21"/>
              </w:rPr>
              <w:t>存储相对湿度</w:t>
            </w:r>
          </w:p>
        </w:tc>
        <w:tc>
          <w:tcPr>
            <w:tcW w:w="2376" w:type="dxa"/>
            <w:vAlign w:val="center"/>
          </w:tcPr>
          <w:p w14:paraId="6A1E3398">
            <w:pPr>
              <w:rPr>
                <w:rFonts w:hint="eastAsia" w:ascii="宋体" w:hAnsi="宋体"/>
                <w:color w:val="auto"/>
                <w:szCs w:val="21"/>
              </w:rPr>
            </w:pPr>
            <w:r>
              <w:rPr>
                <w:rFonts w:ascii="宋体" w:hAnsi="宋体" w:cs="宋体"/>
                <w:color w:val="auto"/>
                <w:sz w:val="24"/>
              </w:rPr>
              <w:t>10%～</w:t>
            </w:r>
            <w:r>
              <w:rPr>
                <w:rFonts w:hint="eastAsia" w:ascii="宋体" w:hAnsi="宋体" w:cs="宋体"/>
                <w:color w:val="auto"/>
                <w:sz w:val="24"/>
              </w:rPr>
              <w:t>9</w:t>
            </w:r>
            <w:r>
              <w:rPr>
                <w:rFonts w:ascii="宋体" w:hAnsi="宋体" w:cs="宋体"/>
                <w:color w:val="auto"/>
                <w:sz w:val="24"/>
              </w:rPr>
              <w:t>5%</w:t>
            </w:r>
          </w:p>
        </w:tc>
        <w:tc>
          <w:tcPr>
            <w:tcW w:w="2127" w:type="dxa"/>
            <w:vAlign w:val="center"/>
          </w:tcPr>
          <w:p w14:paraId="6A4FCC53">
            <w:pPr>
              <w:spacing w:line="360" w:lineRule="auto"/>
              <w:jc w:val="center"/>
              <w:rPr>
                <w:rFonts w:hint="eastAsia" w:ascii="宋体" w:hAnsi="宋体"/>
                <w:color w:val="auto"/>
                <w:sz w:val="24"/>
              </w:rPr>
            </w:pPr>
          </w:p>
        </w:tc>
        <w:tc>
          <w:tcPr>
            <w:tcW w:w="1885" w:type="dxa"/>
            <w:vAlign w:val="center"/>
          </w:tcPr>
          <w:p w14:paraId="362D0415">
            <w:pPr>
              <w:spacing w:line="360" w:lineRule="auto"/>
              <w:jc w:val="center"/>
              <w:rPr>
                <w:rFonts w:hint="eastAsia" w:ascii="宋体" w:hAnsi="宋体"/>
                <w:color w:val="auto"/>
                <w:sz w:val="24"/>
              </w:rPr>
            </w:pPr>
          </w:p>
        </w:tc>
      </w:tr>
      <w:tr w14:paraId="31E14E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68A0CAA8">
            <w:pPr>
              <w:rPr>
                <w:rFonts w:hint="eastAsia" w:ascii="宋体" w:hAnsi="宋体"/>
                <w:color w:val="auto"/>
                <w:szCs w:val="21"/>
              </w:rPr>
            </w:pPr>
            <w:r>
              <w:rPr>
                <w:rFonts w:hint="eastAsia" w:ascii="宋体" w:hAnsi="宋体"/>
                <w:color w:val="auto"/>
                <w:szCs w:val="21"/>
              </w:rPr>
              <w:t>5</w:t>
            </w:r>
          </w:p>
        </w:tc>
        <w:tc>
          <w:tcPr>
            <w:tcW w:w="1964" w:type="dxa"/>
            <w:vAlign w:val="center"/>
          </w:tcPr>
          <w:p w14:paraId="0F352A07">
            <w:pPr>
              <w:jc w:val="center"/>
              <w:rPr>
                <w:rFonts w:hint="eastAsia" w:ascii="宋体" w:hAnsi="宋体"/>
                <w:color w:val="auto"/>
                <w:szCs w:val="21"/>
              </w:rPr>
            </w:pPr>
            <w:r>
              <w:rPr>
                <w:rFonts w:hint="eastAsia" w:ascii="宋体" w:hAnsi="宋体"/>
                <w:color w:val="auto"/>
                <w:szCs w:val="21"/>
              </w:rPr>
              <w:t>长期工作海拔高度</w:t>
            </w:r>
          </w:p>
        </w:tc>
        <w:tc>
          <w:tcPr>
            <w:tcW w:w="2376" w:type="dxa"/>
            <w:vAlign w:val="center"/>
          </w:tcPr>
          <w:p w14:paraId="2BB0ECD2">
            <w:pPr>
              <w:rPr>
                <w:rFonts w:hint="eastAsia" w:ascii="宋体" w:hAnsi="宋体"/>
                <w:color w:val="auto"/>
                <w:szCs w:val="21"/>
              </w:rPr>
            </w:pPr>
            <w:r>
              <w:rPr>
                <w:rFonts w:ascii="宋体" w:hAnsi="宋体" w:cs="宋体"/>
                <w:color w:val="auto"/>
                <w:sz w:val="24"/>
              </w:rPr>
              <w:t>0m～1000m</w:t>
            </w:r>
          </w:p>
        </w:tc>
        <w:tc>
          <w:tcPr>
            <w:tcW w:w="2127" w:type="dxa"/>
            <w:vAlign w:val="center"/>
          </w:tcPr>
          <w:p w14:paraId="159CE6AC">
            <w:pPr>
              <w:spacing w:line="360" w:lineRule="auto"/>
              <w:jc w:val="center"/>
              <w:rPr>
                <w:rFonts w:hint="eastAsia" w:ascii="宋体" w:hAnsi="宋体"/>
                <w:color w:val="auto"/>
                <w:sz w:val="24"/>
              </w:rPr>
            </w:pPr>
          </w:p>
        </w:tc>
        <w:tc>
          <w:tcPr>
            <w:tcW w:w="1885" w:type="dxa"/>
            <w:vAlign w:val="center"/>
          </w:tcPr>
          <w:p w14:paraId="33C2A9E8">
            <w:pPr>
              <w:spacing w:line="360" w:lineRule="auto"/>
              <w:jc w:val="center"/>
              <w:rPr>
                <w:rFonts w:hint="eastAsia" w:ascii="宋体" w:hAnsi="宋体"/>
                <w:color w:val="auto"/>
                <w:sz w:val="24"/>
              </w:rPr>
            </w:pPr>
          </w:p>
        </w:tc>
      </w:tr>
      <w:tr w14:paraId="4A797F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70873BF4">
            <w:pPr>
              <w:rPr>
                <w:rFonts w:hint="eastAsia" w:ascii="宋体" w:hAnsi="宋体"/>
                <w:color w:val="auto"/>
                <w:szCs w:val="21"/>
              </w:rPr>
            </w:pPr>
            <w:r>
              <w:rPr>
                <w:rFonts w:hint="eastAsia" w:ascii="宋体" w:hAnsi="宋体"/>
                <w:color w:val="auto"/>
                <w:szCs w:val="21"/>
              </w:rPr>
              <w:t>6</w:t>
            </w:r>
          </w:p>
        </w:tc>
        <w:tc>
          <w:tcPr>
            <w:tcW w:w="1964" w:type="dxa"/>
            <w:vAlign w:val="center"/>
          </w:tcPr>
          <w:p w14:paraId="46D554FC">
            <w:pPr>
              <w:jc w:val="center"/>
              <w:rPr>
                <w:rFonts w:hint="eastAsia" w:ascii="宋体" w:hAnsi="宋体"/>
                <w:color w:val="auto"/>
                <w:szCs w:val="21"/>
              </w:rPr>
            </w:pPr>
            <w:r>
              <w:rPr>
                <w:rFonts w:hint="eastAsia" w:ascii="宋体" w:hAnsi="宋体"/>
                <w:color w:val="auto"/>
                <w:szCs w:val="21"/>
              </w:rPr>
              <w:t>存储海拔高度</w:t>
            </w:r>
          </w:p>
        </w:tc>
        <w:tc>
          <w:tcPr>
            <w:tcW w:w="2376" w:type="dxa"/>
            <w:vAlign w:val="center"/>
          </w:tcPr>
          <w:p w14:paraId="43904F99">
            <w:pPr>
              <w:rPr>
                <w:rFonts w:hint="eastAsia" w:ascii="宋体" w:hAnsi="宋体"/>
                <w:color w:val="auto"/>
                <w:szCs w:val="21"/>
              </w:rPr>
            </w:pPr>
            <w:r>
              <w:rPr>
                <w:rFonts w:ascii="宋体" w:hAnsi="宋体" w:cs="宋体"/>
                <w:color w:val="auto"/>
                <w:sz w:val="24"/>
              </w:rPr>
              <w:t>0m～1000m</w:t>
            </w:r>
          </w:p>
        </w:tc>
        <w:tc>
          <w:tcPr>
            <w:tcW w:w="2127" w:type="dxa"/>
            <w:vAlign w:val="center"/>
          </w:tcPr>
          <w:p w14:paraId="1D7BDCAC">
            <w:pPr>
              <w:spacing w:line="360" w:lineRule="auto"/>
              <w:jc w:val="center"/>
              <w:rPr>
                <w:rFonts w:hint="eastAsia" w:ascii="宋体" w:hAnsi="宋体"/>
                <w:color w:val="auto"/>
                <w:sz w:val="24"/>
              </w:rPr>
            </w:pPr>
          </w:p>
        </w:tc>
        <w:tc>
          <w:tcPr>
            <w:tcW w:w="1885" w:type="dxa"/>
            <w:vAlign w:val="center"/>
          </w:tcPr>
          <w:p w14:paraId="61D7C45E">
            <w:pPr>
              <w:spacing w:line="360" w:lineRule="auto"/>
              <w:jc w:val="center"/>
              <w:rPr>
                <w:rFonts w:hint="eastAsia" w:ascii="宋体" w:hAnsi="宋体"/>
                <w:color w:val="auto"/>
                <w:sz w:val="24"/>
              </w:rPr>
            </w:pPr>
          </w:p>
        </w:tc>
      </w:tr>
    </w:tbl>
    <w:p w14:paraId="78D34AB1">
      <w:pPr>
        <w:rPr>
          <w:rFonts w:hint="eastAsia"/>
        </w:rPr>
      </w:pPr>
    </w:p>
    <w:p w14:paraId="6DA829B1">
      <w:pPr>
        <w:pStyle w:val="4"/>
        <w:numPr>
          <w:ilvl w:val="0"/>
          <w:numId w:val="4"/>
        </w:numPr>
        <w:spacing w:before="0" w:after="0" w:line="360" w:lineRule="auto"/>
        <w:rPr>
          <w:rFonts w:hint="eastAsia" w:ascii="宋体" w:hAnsi="宋体" w:cs="宋体"/>
          <w:kern w:val="0"/>
          <w:sz w:val="24"/>
          <w:szCs w:val="24"/>
        </w:rPr>
      </w:pPr>
      <w:bookmarkStart w:id="37" w:name="_Toc24394"/>
      <w:r>
        <w:rPr>
          <w:rFonts w:hint="eastAsia" w:ascii="宋体" w:hAnsi="宋体" w:cs="宋体"/>
          <w:kern w:val="0"/>
          <w:sz w:val="24"/>
          <w:szCs w:val="24"/>
        </w:rPr>
        <w:t>技术要求</w:t>
      </w:r>
      <w:bookmarkEnd w:id="37"/>
    </w:p>
    <w:p w14:paraId="2A32D169">
      <w:pPr>
        <w:numPr>
          <w:ilvl w:val="1"/>
          <w:numId w:val="4"/>
        </w:numPr>
        <w:adjustRightInd w:val="0"/>
        <w:spacing w:line="360" w:lineRule="auto"/>
        <w:ind w:left="0" w:firstLine="0"/>
        <w:outlineLvl w:val="1"/>
        <w:rPr>
          <w:rFonts w:hint="eastAsia" w:ascii="宋体" w:hAnsi="宋体" w:cs="宋体"/>
          <w:sz w:val="24"/>
        </w:rPr>
      </w:pPr>
      <w:bookmarkStart w:id="38" w:name="_Toc283566853"/>
      <w:bookmarkStart w:id="39" w:name="_Toc16095"/>
      <w:bookmarkStart w:id="40" w:name="_Toc277597176"/>
      <w:r>
        <w:rPr>
          <w:rFonts w:hint="eastAsia" w:ascii="宋体" w:hAnsi="宋体" w:cs="宋体"/>
          <w:sz w:val="24"/>
        </w:rPr>
        <w:t>设备技术要求</w:t>
      </w:r>
      <w:bookmarkEnd w:id="38"/>
      <w:bookmarkEnd w:id="39"/>
      <w:bookmarkEnd w:id="40"/>
    </w:p>
    <w:p w14:paraId="3CEE64B1">
      <w:pPr>
        <w:keepNext w:val="0"/>
        <w:keepLines w:val="0"/>
        <w:pageBreakBefore w:val="0"/>
        <w:widowControl w:val="0"/>
        <w:numPr>
          <w:ilvl w:val="2"/>
          <w:numId w:val="4"/>
        </w:numPr>
        <w:kinsoku/>
        <w:wordWrap/>
        <w:overflowPunct/>
        <w:topLinePunct w:val="0"/>
        <w:autoSpaceDE/>
        <w:autoSpaceDN/>
        <w:bidi w:val="0"/>
        <w:adjustRightInd w:val="0"/>
        <w:snapToGrid/>
        <w:spacing w:line="360" w:lineRule="auto"/>
        <w:ind w:left="0" w:leftChars="0" w:firstLine="0" w:firstLineChars="0"/>
        <w:textAlignment w:val="auto"/>
        <w:outlineLvl w:val="2"/>
        <w:rPr>
          <w:rFonts w:hint="eastAsia" w:ascii="宋体" w:hAnsi="宋体" w:cs="宋体"/>
          <w:sz w:val="24"/>
        </w:rPr>
      </w:pPr>
      <w:r>
        <w:rPr>
          <w:rFonts w:hint="eastAsia" w:ascii="宋体" w:hAnsi="宋体" w:cs="宋体"/>
          <w:sz w:val="24"/>
        </w:rPr>
        <w:t>设备基本要求</w:t>
      </w:r>
    </w:p>
    <w:p w14:paraId="4CB6DF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olor w:val="auto"/>
          <w:szCs w:val="21"/>
        </w:rPr>
      </w:pPr>
      <w:r>
        <w:rPr>
          <w:rFonts w:ascii="宋体" w:hAnsi="宋体"/>
          <w:color w:val="auto"/>
          <w:sz w:val="24"/>
        </w:rPr>
        <w:t>设备</w:t>
      </w:r>
      <w:r>
        <w:rPr>
          <w:rFonts w:hint="eastAsia" w:ascii="宋体" w:hAnsi="宋体"/>
          <w:color w:val="auto"/>
          <w:sz w:val="24"/>
        </w:rPr>
        <w:t>及全部配件</w:t>
      </w:r>
      <w:r>
        <w:rPr>
          <w:rFonts w:ascii="宋体" w:hAnsi="宋体"/>
          <w:color w:val="auto"/>
          <w:sz w:val="24"/>
        </w:rPr>
        <w:t>必须</w:t>
      </w:r>
      <w:r>
        <w:rPr>
          <w:rFonts w:hint="eastAsia" w:ascii="宋体" w:hAnsi="宋体"/>
          <w:color w:val="auto"/>
          <w:sz w:val="24"/>
        </w:rPr>
        <w:t>为</w:t>
      </w:r>
      <w:r>
        <w:rPr>
          <w:rFonts w:ascii="宋体" w:hAnsi="宋体"/>
          <w:color w:val="auto"/>
          <w:sz w:val="24"/>
        </w:rPr>
        <w:t>全新的、持久耐用的</w:t>
      </w:r>
      <w:r>
        <w:rPr>
          <w:rFonts w:hint="eastAsia" w:ascii="宋体" w:hAnsi="宋体"/>
          <w:color w:val="auto"/>
          <w:sz w:val="24"/>
        </w:rPr>
        <w:t>产品</w:t>
      </w:r>
      <w:r>
        <w:rPr>
          <w:rFonts w:ascii="宋体" w:hAnsi="宋体"/>
          <w:color w:val="auto"/>
          <w:sz w:val="24"/>
        </w:rPr>
        <w:t>。即使在本</w:t>
      </w:r>
      <w:r>
        <w:rPr>
          <w:rFonts w:hint="eastAsia" w:ascii="宋体" w:hAnsi="宋体"/>
          <w:color w:val="auto"/>
          <w:sz w:val="24"/>
        </w:rPr>
        <w:t>技术规范书</w:t>
      </w:r>
      <w:r>
        <w:rPr>
          <w:rFonts w:ascii="宋体" w:hAnsi="宋体"/>
          <w:color w:val="auto"/>
          <w:sz w:val="24"/>
        </w:rPr>
        <w:t>中没有</w:t>
      </w:r>
      <w:r>
        <w:rPr>
          <w:rFonts w:hint="eastAsia" w:ascii="宋体" w:hAnsi="宋体"/>
          <w:color w:val="auto"/>
          <w:sz w:val="24"/>
        </w:rPr>
        <w:t>明确</w:t>
      </w:r>
      <w:r>
        <w:rPr>
          <w:rFonts w:ascii="宋体" w:hAnsi="宋体"/>
          <w:color w:val="auto"/>
          <w:sz w:val="24"/>
        </w:rPr>
        <w:t>地提出,也应满足作为一个完整产品一般所能满足的全部要求。</w:t>
      </w:r>
      <w:r>
        <w:rPr>
          <w:rFonts w:hint="eastAsia" w:ascii="宋体" w:hAnsi="宋体"/>
          <w:color w:val="auto"/>
          <w:sz w:val="24"/>
        </w:rPr>
        <w:t>同时，可根据系统、测试对象性能的要求并随着</w:t>
      </w:r>
      <w:r>
        <w:rPr>
          <w:rFonts w:ascii="宋体" w:hAnsi="宋体"/>
          <w:color w:val="auto"/>
          <w:sz w:val="24"/>
        </w:rPr>
        <w:t>IT</w:t>
      </w:r>
      <w:r>
        <w:rPr>
          <w:rFonts w:hint="eastAsia" w:ascii="宋体" w:hAnsi="宋体"/>
          <w:color w:val="auto"/>
          <w:sz w:val="24"/>
        </w:rPr>
        <w:t>技</w:t>
      </w:r>
      <w:r>
        <w:rPr>
          <w:rFonts w:ascii="宋体" w:hAnsi="宋体"/>
          <w:color w:val="auto"/>
          <w:sz w:val="24"/>
        </w:rPr>
        <w:t>术</w:t>
      </w:r>
      <w:r>
        <w:rPr>
          <w:rFonts w:hint="eastAsia" w:ascii="宋体" w:hAnsi="宋体"/>
          <w:color w:val="auto"/>
          <w:sz w:val="24"/>
        </w:rPr>
        <w:t>发展，可提供持续的软件开发和硬件的升级</w:t>
      </w:r>
      <w:r>
        <w:rPr>
          <w:rFonts w:hint="eastAsia" w:ascii="宋体" w:hAnsi="宋体"/>
          <w:color w:val="auto"/>
          <w:szCs w:val="21"/>
        </w:rPr>
        <w:t>。</w:t>
      </w:r>
    </w:p>
    <w:p w14:paraId="22283C21">
      <w:pPr>
        <w:keepNext w:val="0"/>
        <w:keepLines w:val="0"/>
        <w:pageBreakBefore w:val="0"/>
        <w:widowControl w:val="0"/>
        <w:numPr>
          <w:ilvl w:val="2"/>
          <w:numId w:val="4"/>
        </w:numPr>
        <w:kinsoku/>
        <w:wordWrap/>
        <w:overflowPunct/>
        <w:topLinePunct w:val="0"/>
        <w:autoSpaceDE/>
        <w:autoSpaceDN/>
        <w:bidi w:val="0"/>
        <w:adjustRightInd w:val="0"/>
        <w:snapToGrid/>
        <w:spacing w:line="360" w:lineRule="auto"/>
        <w:ind w:left="0" w:leftChars="0" w:firstLine="0" w:firstLineChars="0"/>
        <w:textAlignment w:val="auto"/>
        <w:outlineLvl w:val="2"/>
        <w:rPr>
          <w:rFonts w:hint="eastAsia" w:ascii="宋体" w:hAnsi="宋体" w:cs="宋体"/>
          <w:sz w:val="24"/>
        </w:rPr>
      </w:pPr>
      <w:r>
        <w:rPr>
          <w:rFonts w:hint="eastAsia" w:ascii="宋体" w:hAnsi="宋体" w:cs="宋体"/>
          <w:sz w:val="24"/>
        </w:rPr>
        <w:t>设备结构要求</w:t>
      </w:r>
    </w:p>
    <w:p w14:paraId="3D4042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olor w:val="auto"/>
          <w:sz w:val="24"/>
        </w:rPr>
      </w:pPr>
      <w:r>
        <w:rPr>
          <w:rFonts w:hint="eastAsia" w:ascii="宋体" w:hAnsi="宋体" w:eastAsia="宋体"/>
          <w:color w:val="auto"/>
          <w:sz w:val="24"/>
        </w:rPr>
        <w:t>无要求。</w:t>
      </w:r>
    </w:p>
    <w:p w14:paraId="3D3C8948">
      <w:pPr>
        <w:numPr>
          <w:ilvl w:val="1"/>
          <w:numId w:val="4"/>
        </w:numPr>
        <w:adjustRightInd w:val="0"/>
        <w:spacing w:line="360" w:lineRule="auto"/>
        <w:ind w:left="0" w:firstLine="0"/>
        <w:outlineLvl w:val="1"/>
        <w:rPr>
          <w:rFonts w:hint="eastAsia" w:ascii="宋体" w:hAnsi="宋体" w:cs="宋体"/>
          <w:sz w:val="24"/>
        </w:rPr>
      </w:pPr>
      <w:bookmarkStart w:id="41" w:name="_Toc2674"/>
      <w:r>
        <w:rPr>
          <w:rFonts w:hint="eastAsia" w:ascii="宋体" w:hAnsi="宋体" w:cs="宋体"/>
          <w:sz w:val="24"/>
        </w:rPr>
        <w:t>设备技术参数和性能要求</w:t>
      </w:r>
      <w:bookmarkEnd w:id="41"/>
    </w:p>
    <w:p w14:paraId="7D9830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olor w:val="auto"/>
          <w:sz w:val="24"/>
        </w:rPr>
      </w:pPr>
      <w:r>
        <w:rPr>
          <w:rFonts w:hint="eastAsia" w:ascii="宋体" w:hAnsi="宋体"/>
          <w:color w:val="auto"/>
          <w:sz w:val="24"/>
          <w:lang w:eastAsia="zh-CN"/>
        </w:rPr>
        <w:t>报价人</w:t>
      </w:r>
      <w:r>
        <w:rPr>
          <w:rFonts w:hint="eastAsia" w:ascii="宋体" w:hAnsi="宋体" w:eastAsia="宋体"/>
          <w:color w:val="auto"/>
          <w:sz w:val="24"/>
        </w:rPr>
        <w:t>应认真逐项填写所供设备技术参数和性能要求（</w:t>
      </w:r>
      <w:r>
        <w:rPr>
          <w:rFonts w:hint="eastAsia" w:ascii="宋体" w:hAnsi="宋体" w:eastAsia="宋体"/>
          <w:color w:val="auto"/>
          <w:sz w:val="24"/>
          <w:lang w:val="en-US" w:eastAsia="zh-CN"/>
        </w:rPr>
        <w:t>详见下文</w:t>
      </w:r>
      <w:r>
        <w:rPr>
          <w:rFonts w:hint="eastAsia" w:ascii="宋体" w:hAnsi="宋体" w:eastAsia="宋体"/>
          <w:color w:val="auto"/>
          <w:sz w:val="24"/>
        </w:rPr>
        <w:t>）</w:t>
      </w:r>
      <w:r>
        <w:rPr>
          <w:rFonts w:hint="eastAsia" w:ascii="宋体" w:hAnsi="宋体" w:eastAsia="宋体"/>
          <w:color w:val="auto"/>
          <w:sz w:val="24"/>
          <w:lang w:eastAsia="zh-CN"/>
        </w:rPr>
        <w:t>，</w:t>
      </w:r>
      <w:r>
        <w:rPr>
          <w:rFonts w:hint="eastAsia" w:ascii="宋体" w:hAnsi="宋体" w:eastAsia="宋体"/>
          <w:color w:val="auto"/>
          <w:sz w:val="24"/>
        </w:rPr>
        <w:t>标注“★”的条款为关键条款，</w:t>
      </w:r>
      <w:r>
        <w:rPr>
          <w:rFonts w:hint="eastAsia" w:ascii="宋体" w:hAnsi="宋体"/>
          <w:color w:val="auto"/>
          <w:sz w:val="24"/>
          <w:lang w:eastAsia="zh-CN"/>
        </w:rPr>
        <w:t>报价人</w:t>
      </w:r>
      <w:r>
        <w:rPr>
          <w:rFonts w:hint="eastAsia" w:ascii="宋体" w:hAnsi="宋体" w:eastAsia="宋体"/>
          <w:color w:val="auto"/>
          <w:sz w:val="24"/>
        </w:rPr>
        <w:t>应出具相应技术资料证明达到条款和技术参数的要求，作为评标时</w:t>
      </w:r>
      <w:r>
        <w:rPr>
          <w:rFonts w:hint="eastAsia" w:ascii="宋体" w:hAnsi="宋体" w:eastAsia="宋体"/>
          <w:color w:val="auto"/>
          <w:sz w:val="24"/>
          <w:lang w:val="en-US" w:eastAsia="zh-CN"/>
        </w:rPr>
        <w:t>的否决项</w:t>
      </w:r>
      <w:r>
        <w:rPr>
          <w:rFonts w:hint="eastAsia" w:ascii="宋体" w:hAnsi="宋体" w:eastAsia="宋体"/>
          <w:color w:val="auto"/>
          <w:sz w:val="24"/>
        </w:rPr>
        <w:t>。</w:t>
      </w:r>
    </w:p>
    <w:p w14:paraId="1AD33AAF">
      <w:pPr>
        <w:keepNext w:val="0"/>
        <w:keepLines w:val="0"/>
        <w:pageBreakBefore w:val="0"/>
        <w:widowControl w:val="0"/>
        <w:numPr>
          <w:ilvl w:val="2"/>
          <w:numId w:val="4"/>
        </w:numPr>
        <w:kinsoku/>
        <w:wordWrap/>
        <w:overflowPunct/>
        <w:topLinePunct w:val="0"/>
        <w:autoSpaceDE/>
        <w:autoSpaceDN/>
        <w:bidi w:val="0"/>
        <w:adjustRightInd w:val="0"/>
        <w:snapToGrid/>
        <w:spacing w:line="360" w:lineRule="auto"/>
        <w:ind w:left="0" w:leftChars="0" w:firstLine="0" w:firstLineChars="0"/>
        <w:textAlignment w:val="auto"/>
        <w:outlineLvl w:val="2"/>
        <w:rPr>
          <w:rFonts w:hint="eastAsia" w:ascii="宋体" w:hAnsi="宋体" w:cs="宋体"/>
          <w:b/>
          <w:bCs/>
          <w:sz w:val="24"/>
        </w:rPr>
      </w:pPr>
      <w:r>
        <w:rPr>
          <w:rFonts w:hint="eastAsia" w:ascii="宋体" w:hAnsi="宋体" w:cs="宋体"/>
          <w:b/>
          <w:bCs/>
          <w:sz w:val="24"/>
          <w:lang w:val="en-US" w:eastAsia="zh-CN"/>
        </w:rPr>
        <w:t>堡垒机（配置1）</w:t>
      </w:r>
    </w:p>
    <w:tbl>
      <w:tblPr>
        <w:tblStyle w:val="24"/>
        <w:tblW w:w="9209" w:type="dxa"/>
        <w:tblInd w:w="113" w:type="dxa"/>
        <w:tblLayout w:type="autofit"/>
        <w:tblCellMar>
          <w:top w:w="0" w:type="dxa"/>
          <w:left w:w="108" w:type="dxa"/>
          <w:bottom w:w="0" w:type="dxa"/>
          <w:right w:w="108" w:type="dxa"/>
        </w:tblCellMar>
      </w:tblPr>
      <w:tblGrid>
        <w:gridCol w:w="1000"/>
        <w:gridCol w:w="1320"/>
        <w:gridCol w:w="6889"/>
      </w:tblGrid>
      <w:tr w14:paraId="59C8FCED">
        <w:tblPrEx>
          <w:tblCellMar>
            <w:top w:w="0" w:type="dxa"/>
            <w:left w:w="108" w:type="dxa"/>
            <w:bottom w:w="0" w:type="dxa"/>
            <w:right w:w="108" w:type="dxa"/>
          </w:tblCellMar>
        </w:tblPrEx>
        <w:trPr>
          <w:trHeight w:val="530" w:hRule="atLeast"/>
        </w:trPr>
        <w:tc>
          <w:tcPr>
            <w:tcW w:w="1000" w:type="dxa"/>
            <w:tcBorders>
              <w:top w:val="single" w:color="auto" w:sz="4" w:space="0"/>
              <w:left w:val="single" w:color="auto" w:sz="4" w:space="0"/>
              <w:bottom w:val="single" w:color="auto" w:sz="4" w:space="0"/>
              <w:right w:val="single" w:color="auto" w:sz="4" w:space="0"/>
            </w:tcBorders>
            <w:vAlign w:val="center"/>
          </w:tcPr>
          <w:p w14:paraId="25A52D5F">
            <w:pPr>
              <w:widowControl/>
              <w:spacing w:line="276" w:lineRule="auto"/>
              <w:jc w:val="left"/>
              <w:rPr>
                <w:rFonts w:hint="eastAsia" w:ascii="宋体" w:hAnsi="宋体" w:cs="宋体"/>
                <w:b/>
                <w:bCs/>
                <w:color w:val="auto"/>
                <w:kern w:val="0"/>
                <w:sz w:val="24"/>
              </w:rPr>
            </w:pPr>
            <w:r>
              <w:rPr>
                <w:rFonts w:hint="eastAsia" w:ascii="宋体" w:hAnsi="宋体" w:cs="宋体"/>
                <w:b/>
                <w:bCs/>
                <w:color w:val="auto"/>
                <w:kern w:val="0"/>
                <w:sz w:val="24"/>
              </w:rPr>
              <w:t>指标</w:t>
            </w:r>
          </w:p>
        </w:tc>
        <w:tc>
          <w:tcPr>
            <w:tcW w:w="1320" w:type="dxa"/>
            <w:tcBorders>
              <w:top w:val="single" w:color="auto" w:sz="4" w:space="0"/>
              <w:left w:val="nil"/>
              <w:bottom w:val="single" w:color="auto" w:sz="4" w:space="0"/>
              <w:right w:val="single" w:color="auto" w:sz="4" w:space="0"/>
            </w:tcBorders>
            <w:vAlign w:val="center"/>
          </w:tcPr>
          <w:p w14:paraId="4460836F">
            <w:pPr>
              <w:widowControl/>
              <w:spacing w:line="276" w:lineRule="auto"/>
              <w:jc w:val="left"/>
              <w:rPr>
                <w:rFonts w:hint="eastAsia" w:ascii="宋体" w:hAnsi="宋体" w:cs="宋体"/>
                <w:b/>
                <w:bCs/>
                <w:color w:val="auto"/>
                <w:kern w:val="0"/>
                <w:sz w:val="24"/>
              </w:rPr>
            </w:pPr>
            <w:r>
              <w:rPr>
                <w:rFonts w:hint="eastAsia" w:ascii="宋体" w:hAnsi="宋体" w:cs="宋体"/>
                <w:b/>
                <w:bCs/>
                <w:color w:val="auto"/>
                <w:kern w:val="0"/>
                <w:sz w:val="24"/>
              </w:rPr>
              <w:t>类别</w:t>
            </w:r>
          </w:p>
        </w:tc>
        <w:tc>
          <w:tcPr>
            <w:tcW w:w="6889" w:type="dxa"/>
            <w:tcBorders>
              <w:top w:val="single" w:color="auto" w:sz="4" w:space="0"/>
              <w:left w:val="nil"/>
              <w:bottom w:val="single" w:color="auto" w:sz="4" w:space="0"/>
              <w:right w:val="single" w:color="auto" w:sz="4" w:space="0"/>
            </w:tcBorders>
            <w:vAlign w:val="center"/>
          </w:tcPr>
          <w:p w14:paraId="050A1487">
            <w:pPr>
              <w:widowControl/>
              <w:spacing w:line="276" w:lineRule="auto"/>
              <w:jc w:val="left"/>
              <w:rPr>
                <w:rFonts w:hint="eastAsia" w:ascii="宋体" w:hAnsi="宋体" w:cs="宋体"/>
                <w:b/>
                <w:bCs/>
                <w:color w:val="auto"/>
                <w:kern w:val="0"/>
                <w:sz w:val="24"/>
              </w:rPr>
            </w:pPr>
            <w:r>
              <w:rPr>
                <w:rFonts w:hint="eastAsia" w:ascii="宋体" w:hAnsi="宋体" w:cs="宋体"/>
                <w:b/>
                <w:bCs/>
                <w:color w:val="auto"/>
                <w:kern w:val="0"/>
                <w:sz w:val="24"/>
              </w:rPr>
              <w:t>技术要求说明</w:t>
            </w:r>
          </w:p>
        </w:tc>
      </w:tr>
      <w:tr w14:paraId="35948AFF">
        <w:tblPrEx>
          <w:tblCellMar>
            <w:top w:w="0" w:type="dxa"/>
            <w:left w:w="108" w:type="dxa"/>
            <w:bottom w:w="0" w:type="dxa"/>
            <w:right w:w="108" w:type="dxa"/>
          </w:tblCellMar>
        </w:tblPrEx>
        <w:trPr>
          <w:trHeight w:val="720" w:hRule="atLeast"/>
        </w:trPr>
        <w:tc>
          <w:tcPr>
            <w:tcW w:w="1000" w:type="dxa"/>
            <w:vMerge w:val="restart"/>
            <w:tcBorders>
              <w:top w:val="nil"/>
              <w:left w:val="single" w:color="auto" w:sz="4" w:space="0"/>
              <w:right w:val="single" w:color="auto" w:sz="4" w:space="0"/>
            </w:tcBorders>
            <w:vAlign w:val="center"/>
          </w:tcPr>
          <w:p w14:paraId="75003B83">
            <w:pPr>
              <w:widowControl/>
              <w:spacing w:line="276" w:lineRule="auto"/>
              <w:rPr>
                <w:rFonts w:hint="eastAsia" w:ascii="宋体" w:hAnsi="宋体" w:cs="宋体"/>
                <w:color w:val="auto"/>
                <w:kern w:val="0"/>
                <w:sz w:val="24"/>
              </w:rPr>
            </w:pPr>
            <w:r>
              <w:rPr>
                <w:rFonts w:hint="eastAsia" w:ascii="宋体" w:hAnsi="宋体" w:cs="宋体"/>
                <w:color w:val="auto"/>
                <w:kern w:val="0"/>
                <w:sz w:val="24"/>
              </w:rPr>
              <w:t>基本要求</w:t>
            </w:r>
          </w:p>
        </w:tc>
        <w:tc>
          <w:tcPr>
            <w:tcW w:w="1320" w:type="dxa"/>
            <w:tcBorders>
              <w:top w:val="nil"/>
              <w:left w:val="nil"/>
              <w:bottom w:val="single" w:color="auto" w:sz="4" w:space="0"/>
              <w:right w:val="single" w:color="auto" w:sz="4" w:space="0"/>
            </w:tcBorders>
            <w:vAlign w:val="center"/>
          </w:tcPr>
          <w:p w14:paraId="62A34183">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产品规格</w:t>
            </w:r>
          </w:p>
        </w:tc>
        <w:tc>
          <w:tcPr>
            <w:tcW w:w="6889" w:type="dxa"/>
            <w:tcBorders>
              <w:top w:val="nil"/>
              <w:left w:val="nil"/>
              <w:bottom w:val="single" w:color="auto" w:sz="4" w:space="0"/>
              <w:right w:val="single" w:color="auto" w:sz="4" w:space="0"/>
            </w:tcBorders>
            <w:vAlign w:val="center"/>
          </w:tcPr>
          <w:p w14:paraId="41C1CCBA">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★2U标准机架式设备，提供冗余电源，需为国产化操作系统和国产化处理器，国产化CPU≥8C，内存≥32G，系统盘≥128G SSD，数据盘≥4T硬盘，接口≥6*千兆电，≥4*千兆光，≥2*万兆光口，2*USB，1*串口，1*GE管理口，1*GE热备口，1*扩展插槽，配套硬件国密加密卡。可管理授权终端数≥500个。</w:t>
            </w:r>
          </w:p>
        </w:tc>
      </w:tr>
      <w:tr w14:paraId="35DB00AE">
        <w:tblPrEx>
          <w:tblCellMar>
            <w:top w:w="0" w:type="dxa"/>
            <w:left w:w="108" w:type="dxa"/>
            <w:bottom w:w="0" w:type="dxa"/>
            <w:right w:w="108" w:type="dxa"/>
          </w:tblCellMar>
        </w:tblPrEx>
        <w:trPr>
          <w:trHeight w:val="280" w:hRule="atLeast"/>
        </w:trPr>
        <w:tc>
          <w:tcPr>
            <w:tcW w:w="1000" w:type="dxa"/>
            <w:vMerge w:val="continue"/>
            <w:tcBorders>
              <w:left w:val="single" w:color="auto" w:sz="4" w:space="0"/>
              <w:right w:val="single" w:color="auto" w:sz="4" w:space="0"/>
            </w:tcBorders>
            <w:vAlign w:val="center"/>
          </w:tcPr>
          <w:p w14:paraId="4728608D">
            <w:pPr>
              <w:widowControl/>
              <w:spacing w:line="276" w:lineRule="auto"/>
              <w:jc w:val="left"/>
              <w:rPr>
                <w:rFonts w:hint="eastAsia" w:ascii="宋体" w:hAnsi="宋体" w:cs="宋体"/>
                <w:color w:val="auto"/>
                <w:kern w:val="0"/>
                <w:sz w:val="24"/>
              </w:rPr>
            </w:pPr>
          </w:p>
        </w:tc>
        <w:tc>
          <w:tcPr>
            <w:tcW w:w="1320" w:type="dxa"/>
            <w:tcBorders>
              <w:top w:val="nil"/>
              <w:left w:val="nil"/>
              <w:bottom w:val="single" w:color="auto" w:sz="4" w:space="0"/>
              <w:right w:val="single" w:color="auto" w:sz="4" w:space="0"/>
            </w:tcBorders>
            <w:vAlign w:val="center"/>
          </w:tcPr>
          <w:p w14:paraId="44996260">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性能指标</w:t>
            </w:r>
          </w:p>
        </w:tc>
        <w:tc>
          <w:tcPr>
            <w:tcW w:w="6889" w:type="dxa"/>
            <w:tcBorders>
              <w:top w:val="nil"/>
              <w:left w:val="nil"/>
              <w:bottom w:val="single" w:color="auto" w:sz="4" w:space="0"/>
              <w:right w:val="single" w:color="auto" w:sz="4" w:space="0"/>
            </w:tcBorders>
            <w:vAlign w:val="center"/>
          </w:tcPr>
          <w:p w14:paraId="59C60A28">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字符并发数≥</w:t>
            </w:r>
            <w:r>
              <w:rPr>
                <w:rFonts w:hint="eastAsia" w:ascii="宋体" w:hAnsi="宋体" w:cs="宋体"/>
                <w:b/>
                <w:bCs/>
                <w:color w:val="auto"/>
                <w:kern w:val="0"/>
                <w:sz w:val="24"/>
              </w:rPr>
              <w:t>4500</w:t>
            </w:r>
            <w:r>
              <w:rPr>
                <w:rFonts w:hint="eastAsia" w:ascii="宋体" w:hAnsi="宋体" w:cs="宋体"/>
                <w:color w:val="auto"/>
                <w:kern w:val="0"/>
                <w:sz w:val="24"/>
              </w:rPr>
              <w:t>个，图形并发数≥</w:t>
            </w:r>
            <w:r>
              <w:rPr>
                <w:rFonts w:hint="eastAsia" w:ascii="宋体" w:hAnsi="宋体" w:cs="宋体"/>
                <w:b/>
                <w:bCs/>
                <w:color w:val="auto"/>
                <w:kern w:val="0"/>
                <w:sz w:val="24"/>
              </w:rPr>
              <w:t>2500</w:t>
            </w:r>
            <w:r>
              <w:rPr>
                <w:rFonts w:hint="eastAsia" w:ascii="宋体" w:hAnsi="宋体" w:cs="宋体"/>
                <w:color w:val="auto"/>
                <w:kern w:val="0"/>
                <w:sz w:val="24"/>
              </w:rPr>
              <w:t>个。</w:t>
            </w:r>
          </w:p>
        </w:tc>
      </w:tr>
      <w:tr w14:paraId="15F6B195">
        <w:tblPrEx>
          <w:tblCellMar>
            <w:top w:w="0" w:type="dxa"/>
            <w:left w:w="108" w:type="dxa"/>
            <w:bottom w:w="0" w:type="dxa"/>
            <w:right w:w="108" w:type="dxa"/>
          </w:tblCellMar>
        </w:tblPrEx>
        <w:trPr>
          <w:trHeight w:val="690" w:hRule="atLeast"/>
        </w:trPr>
        <w:tc>
          <w:tcPr>
            <w:tcW w:w="1000" w:type="dxa"/>
            <w:vMerge w:val="continue"/>
            <w:tcBorders>
              <w:left w:val="single" w:color="auto" w:sz="4" w:space="0"/>
              <w:bottom w:val="single" w:color="auto" w:sz="4" w:space="0"/>
              <w:right w:val="single" w:color="auto" w:sz="4" w:space="0"/>
            </w:tcBorders>
            <w:vAlign w:val="center"/>
          </w:tcPr>
          <w:p w14:paraId="3F03B439">
            <w:pPr>
              <w:widowControl/>
              <w:spacing w:line="276" w:lineRule="auto"/>
              <w:jc w:val="left"/>
              <w:rPr>
                <w:rFonts w:hint="eastAsia" w:ascii="宋体" w:hAnsi="宋体" w:cs="宋体"/>
                <w:color w:val="auto"/>
                <w:kern w:val="0"/>
                <w:sz w:val="24"/>
              </w:rPr>
            </w:pPr>
          </w:p>
        </w:tc>
        <w:tc>
          <w:tcPr>
            <w:tcW w:w="1320" w:type="dxa"/>
            <w:tcBorders>
              <w:top w:val="nil"/>
              <w:left w:val="single" w:color="auto" w:sz="4" w:space="0"/>
              <w:bottom w:val="single" w:color="auto" w:sz="4" w:space="0"/>
              <w:right w:val="single" w:color="auto" w:sz="4" w:space="0"/>
            </w:tcBorders>
            <w:vAlign w:val="top"/>
          </w:tcPr>
          <w:p w14:paraId="66E321B5">
            <w:pPr>
              <w:jc w:val="center"/>
              <w:rPr>
                <w:rFonts w:hint="eastAsia" w:ascii="Times New Roman" w:hAnsi="Times New Roman" w:eastAsia="宋体" w:cs="Times New Roman"/>
                <w:color w:val="auto"/>
                <w:kern w:val="2"/>
                <w:sz w:val="21"/>
                <w:szCs w:val="24"/>
                <w:lang w:val="en-US" w:eastAsia="zh-CN" w:bidi="ar-SA"/>
              </w:rPr>
            </w:pPr>
            <w:r>
              <w:rPr>
                <w:color w:val="auto"/>
              </w:rPr>
              <w:t>★</w:t>
            </w:r>
            <w:r>
              <w:rPr>
                <w:rFonts w:hint="eastAsia"/>
                <w:color w:val="auto"/>
                <w:lang w:val="en-US" w:eastAsia="zh-CN"/>
              </w:rPr>
              <w:t>安全要求</w:t>
            </w:r>
          </w:p>
        </w:tc>
        <w:tc>
          <w:tcPr>
            <w:tcW w:w="6889" w:type="dxa"/>
            <w:tcBorders>
              <w:top w:val="nil"/>
              <w:left w:val="nil"/>
              <w:bottom w:val="single" w:color="auto" w:sz="4" w:space="0"/>
              <w:right w:val="single" w:color="auto" w:sz="4" w:space="0"/>
            </w:tcBorders>
            <w:vAlign w:val="top"/>
          </w:tcPr>
          <w:p w14:paraId="378923B7">
            <w:pP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lang w:val="en-US" w:eastAsia="zh-CN"/>
              </w:rPr>
              <w:t>产品集成部件的芯片基于自主可控芯片，包括但不限于多核架构CPU、DRAM颗粒、PHY、FLASH、电源、交换转发、通信等芯片。</w:t>
            </w:r>
          </w:p>
        </w:tc>
      </w:tr>
      <w:tr w14:paraId="09D20C5E">
        <w:tblPrEx>
          <w:tblCellMar>
            <w:top w:w="0" w:type="dxa"/>
            <w:left w:w="108" w:type="dxa"/>
            <w:bottom w:w="0" w:type="dxa"/>
            <w:right w:w="108" w:type="dxa"/>
          </w:tblCellMar>
        </w:tblPrEx>
        <w:trPr>
          <w:trHeight w:val="690" w:hRule="atLeast"/>
        </w:trPr>
        <w:tc>
          <w:tcPr>
            <w:tcW w:w="1000" w:type="dxa"/>
            <w:vMerge w:val="restart"/>
            <w:tcBorders>
              <w:top w:val="nil"/>
              <w:left w:val="single" w:color="auto" w:sz="4" w:space="0"/>
              <w:bottom w:val="single" w:color="auto" w:sz="4" w:space="0"/>
              <w:right w:val="single" w:color="auto" w:sz="4" w:space="0"/>
            </w:tcBorders>
            <w:vAlign w:val="center"/>
          </w:tcPr>
          <w:p w14:paraId="3A4555DD">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系统要求</w:t>
            </w:r>
          </w:p>
        </w:tc>
        <w:tc>
          <w:tcPr>
            <w:tcW w:w="1320" w:type="dxa"/>
            <w:vMerge w:val="restart"/>
            <w:tcBorders>
              <w:top w:val="nil"/>
              <w:left w:val="single" w:color="auto" w:sz="4" w:space="0"/>
              <w:bottom w:val="single" w:color="auto" w:sz="4" w:space="0"/>
              <w:right w:val="single" w:color="auto" w:sz="4" w:space="0"/>
            </w:tcBorders>
            <w:vAlign w:val="center"/>
          </w:tcPr>
          <w:p w14:paraId="508F04B2">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远程访问</w:t>
            </w:r>
          </w:p>
        </w:tc>
        <w:tc>
          <w:tcPr>
            <w:tcW w:w="6889" w:type="dxa"/>
            <w:tcBorders>
              <w:top w:val="nil"/>
              <w:left w:val="nil"/>
              <w:bottom w:val="single" w:color="auto" w:sz="4" w:space="0"/>
              <w:right w:val="single" w:color="auto" w:sz="4" w:space="0"/>
            </w:tcBorders>
            <w:vAlign w:val="center"/>
          </w:tcPr>
          <w:p w14:paraId="65C1A442">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★支持基于SDP技术的远程接入，无需额外部署VPN设备。支持服务隐藏功能，开启后，攻击者无法扫描到对应服务端口。（需要提供加盖制造商公章的功能截图）</w:t>
            </w:r>
          </w:p>
        </w:tc>
      </w:tr>
      <w:tr w14:paraId="298B7413">
        <w:tblPrEx>
          <w:tblCellMar>
            <w:top w:w="0" w:type="dxa"/>
            <w:left w:w="108" w:type="dxa"/>
            <w:bottom w:w="0" w:type="dxa"/>
            <w:right w:w="108" w:type="dxa"/>
          </w:tblCellMar>
        </w:tblPrEx>
        <w:trPr>
          <w:trHeight w:val="280" w:hRule="atLeast"/>
        </w:trPr>
        <w:tc>
          <w:tcPr>
            <w:tcW w:w="1000" w:type="dxa"/>
            <w:vMerge w:val="continue"/>
            <w:tcBorders>
              <w:top w:val="nil"/>
              <w:left w:val="single" w:color="auto" w:sz="4" w:space="0"/>
              <w:bottom w:val="single" w:color="auto" w:sz="4" w:space="0"/>
              <w:right w:val="single" w:color="auto" w:sz="4" w:space="0"/>
            </w:tcBorders>
            <w:vAlign w:val="center"/>
          </w:tcPr>
          <w:p w14:paraId="31FB55AD">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67000261">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25B7DE0F">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★支持服务端口代理功能，支持可将多个服务端口代理成一个。（需要提供加盖制造商公章的功能截图）</w:t>
            </w:r>
          </w:p>
        </w:tc>
      </w:tr>
      <w:tr w14:paraId="75CFAB67">
        <w:tblPrEx>
          <w:tblCellMar>
            <w:top w:w="0" w:type="dxa"/>
            <w:left w:w="108" w:type="dxa"/>
            <w:bottom w:w="0" w:type="dxa"/>
            <w:right w:w="108" w:type="dxa"/>
          </w:tblCellMar>
        </w:tblPrEx>
        <w:trPr>
          <w:trHeight w:val="770" w:hRule="atLeast"/>
        </w:trPr>
        <w:tc>
          <w:tcPr>
            <w:tcW w:w="1000" w:type="dxa"/>
            <w:vMerge w:val="continue"/>
            <w:tcBorders>
              <w:top w:val="nil"/>
              <w:left w:val="single" w:color="auto" w:sz="4" w:space="0"/>
              <w:bottom w:val="single" w:color="auto" w:sz="4" w:space="0"/>
              <w:right w:val="single" w:color="auto" w:sz="4" w:space="0"/>
            </w:tcBorders>
            <w:vAlign w:val="center"/>
          </w:tcPr>
          <w:p w14:paraId="4633A5FE">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4FA1B335">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5348649B">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★支持客户端在开启VPN的情况下，通过SDP技术和该端口建立安全隧道。（需要提供加盖制造商公章的功能截图和具有CMA或CNAS认证的第三方权威检测机构出具的检测证明）</w:t>
            </w:r>
          </w:p>
        </w:tc>
      </w:tr>
      <w:tr w14:paraId="12DD9920">
        <w:tblPrEx>
          <w:tblCellMar>
            <w:top w:w="0" w:type="dxa"/>
            <w:left w:w="108" w:type="dxa"/>
            <w:bottom w:w="0" w:type="dxa"/>
            <w:right w:w="108" w:type="dxa"/>
          </w:tblCellMar>
        </w:tblPrEx>
        <w:trPr>
          <w:trHeight w:val="480" w:hRule="atLeast"/>
        </w:trPr>
        <w:tc>
          <w:tcPr>
            <w:tcW w:w="1000" w:type="dxa"/>
            <w:vMerge w:val="continue"/>
            <w:tcBorders>
              <w:top w:val="nil"/>
              <w:left w:val="single" w:color="auto" w:sz="4" w:space="0"/>
              <w:bottom w:val="single" w:color="auto" w:sz="4" w:space="0"/>
              <w:right w:val="single" w:color="auto" w:sz="4" w:space="0"/>
            </w:tcBorders>
            <w:vAlign w:val="center"/>
          </w:tcPr>
          <w:p w14:paraId="18879B79">
            <w:pPr>
              <w:widowControl/>
              <w:spacing w:line="276" w:lineRule="auto"/>
              <w:jc w:val="left"/>
              <w:rPr>
                <w:rFonts w:hint="eastAsia" w:ascii="宋体" w:hAnsi="宋体" w:cs="宋体"/>
                <w:color w:val="auto"/>
                <w:kern w:val="0"/>
                <w:sz w:val="24"/>
              </w:rPr>
            </w:pPr>
          </w:p>
        </w:tc>
        <w:tc>
          <w:tcPr>
            <w:tcW w:w="1320" w:type="dxa"/>
            <w:vMerge w:val="restart"/>
            <w:tcBorders>
              <w:top w:val="nil"/>
              <w:left w:val="single" w:color="auto" w:sz="4" w:space="0"/>
              <w:bottom w:val="single" w:color="auto" w:sz="4" w:space="0"/>
              <w:right w:val="single" w:color="auto" w:sz="4" w:space="0"/>
            </w:tcBorders>
            <w:vAlign w:val="center"/>
          </w:tcPr>
          <w:p w14:paraId="68363261">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多级组织管理/分权分域</w:t>
            </w:r>
          </w:p>
        </w:tc>
        <w:tc>
          <w:tcPr>
            <w:tcW w:w="6889" w:type="dxa"/>
            <w:tcBorders>
              <w:top w:val="nil"/>
              <w:left w:val="nil"/>
              <w:bottom w:val="single" w:color="auto" w:sz="4" w:space="0"/>
              <w:right w:val="single" w:color="auto" w:sz="4" w:space="0"/>
            </w:tcBorders>
            <w:vAlign w:val="center"/>
          </w:tcPr>
          <w:p w14:paraId="6371DF20">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★支持划分多级组织架构（至少10个层级），支持管理员批量导入用户信息，可通过勾选账户进行批量操作如停用/启用、冻结、移除本组织成员。（需要提供加盖制造商公章的功能截图）</w:t>
            </w:r>
          </w:p>
        </w:tc>
      </w:tr>
      <w:tr w14:paraId="3498FE6B">
        <w:tblPrEx>
          <w:tblCellMar>
            <w:top w:w="0" w:type="dxa"/>
            <w:left w:w="108" w:type="dxa"/>
            <w:bottom w:w="0" w:type="dxa"/>
            <w:right w:w="108" w:type="dxa"/>
          </w:tblCellMar>
        </w:tblPrEx>
        <w:trPr>
          <w:trHeight w:val="480" w:hRule="atLeast"/>
        </w:trPr>
        <w:tc>
          <w:tcPr>
            <w:tcW w:w="1000" w:type="dxa"/>
            <w:vMerge w:val="continue"/>
            <w:tcBorders>
              <w:top w:val="nil"/>
              <w:left w:val="single" w:color="auto" w:sz="4" w:space="0"/>
              <w:bottom w:val="single" w:color="auto" w:sz="4" w:space="0"/>
              <w:right w:val="single" w:color="auto" w:sz="4" w:space="0"/>
            </w:tcBorders>
            <w:vAlign w:val="center"/>
          </w:tcPr>
          <w:p w14:paraId="43BD14A9">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60298405">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19D58290">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支持划分多级组织架构（至少10个层级），不同层级有独立的用户管理，用户角色管理，资产管理，密码管理、策略管理、审计管理的权限角色，支持不同用户-部门-角色的灵活编排组合。</w:t>
            </w:r>
          </w:p>
        </w:tc>
      </w:tr>
      <w:tr w14:paraId="6F566666">
        <w:tblPrEx>
          <w:tblCellMar>
            <w:top w:w="0" w:type="dxa"/>
            <w:left w:w="108" w:type="dxa"/>
            <w:bottom w:w="0" w:type="dxa"/>
            <w:right w:w="108" w:type="dxa"/>
          </w:tblCellMar>
        </w:tblPrEx>
        <w:trPr>
          <w:trHeight w:val="500" w:hRule="atLeast"/>
        </w:trPr>
        <w:tc>
          <w:tcPr>
            <w:tcW w:w="1000" w:type="dxa"/>
            <w:vMerge w:val="continue"/>
            <w:tcBorders>
              <w:top w:val="nil"/>
              <w:left w:val="single" w:color="auto" w:sz="4" w:space="0"/>
              <w:bottom w:val="single" w:color="auto" w:sz="4" w:space="0"/>
              <w:right w:val="single" w:color="auto" w:sz="4" w:space="0"/>
            </w:tcBorders>
            <w:vAlign w:val="center"/>
          </w:tcPr>
          <w:p w14:paraId="355EF167">
            <w:pPr>
              <w:widowControl/>
              <w:spacing w:line="276" w:lineRule="auto"/>
              <w:jc w:val="left"/>
              <w:rPr>
                <w:rFonts w:hint="eastAsia" w:ascii="宋体" w:hAnsi="宋体" w:cs="宋体"/>
                <w:color w:val="auto"/>
                <w:kern w:val="0"/>
                <w:sz w:val="24"/>
              </w:rPr>
            </w:pPr>
          </w:p>
        </w:tc>
        <w:tc>
          <w:tcPr>
            <w:tcW w:w="1320" w:type="dxa"/>
            <w:vMerge w:val="restart"/>
            <w:tcBorders>
              <w:top w:val="nil"/>
              <w:left w:val="single" w:color="auto" w:sz="4" w:space="0"/>
              <w:bottom w:val="single" w:color="auto" w:sz="4" w:space="0"/>
              <w:right w:val="single" w:color="auto" w:sz="4" w:space="0"/>
            </w:tcBorders>
            <w:vAlign w:val="center"/>
          </w:tcPr>
          <w:p w14:paraId="54337F01">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客户端</w:t>
            </w:r>
          </w:p>
        </w:tc>
        <w:tc>
          <w:tcPr>
            <w:tcW w:w="6889" w:type="dxa"/>
            <w:tcBorders>
              <w:top w:val="nil"/>
              <w:left w:val="nil"/>
              <w:bottom w:val="single" w:color="auto" w:sz="4" w:space="0"/>
              <w:right w:val="single" w:color="auto" w:sz="4" w:space="0"/>
            </w:tcBorders>
            <w:vAlign w:val="center"/>
          </w:tcPr>
          <w:p w14:paraId="706C5C05">
            <w:pPr>
              <w:widowControl/>
              <w:spacing w:line="276" w:lineRule="auto"/>
              <w:rPr>
                <w:rFonts w:hint="eastAsia" w:ascii="宋体" w:hAnsi="宋体" w:cs="宋体"/>
                <w:b/>
                <w:bCs/>
                <w:color w:val="auto"/>
                <w:kern w:val="0"/>
                <w:sz w:val="24"/>
              </w:rPr>
            </w:pPr>
            <w:r>
              <w:rPr>
                <w:rFonts w:hint="eastAsia" w:ascii="宋体" w:hAnsi="宋体" w:cs="宋体"/>
                <w:b/>
                <w:bCs/>
                <w:color w:val="auto"/>
                <w:kern w:val="0"/>
                <w:sz w:val="24"/>
              </w:rPr>
              <w:t>★</w:t>
            </w:r>
            <w:r>
              <w:rPr>
                <w:rFonts w:hint="eastAsia" w:ascii="宋体" w:hAnsi="宋体" w:cs="宋体"/>
                <w:color w:val="auto"/>
                <w:kern w:val="0"/>
                <w:sz w:val="24"/>
              </w:rPr>
              <w:t>堡垒机系统支持BS以及CS模式，支持免费专用客户端。支持在windows、linux、麒麟、统信等操作系统下部署。支持在客户端上完成日常运维工作。（需要提供加盖制造商公章的功能截图和具有CMA或CNAS认证的第三方权威检测机构出具的检测证明）</w:t>
            </w:r>
          </w:p>
        </w:tc>
      </w:tr>
      <w:tr w14:paraId="5058E2FD">
        <w:tblPrEx>
          <w:tblCellMar>
            <w:top w:w="0" w:type="dxa"/>
            <w:left w:w="108" w:type="dxa"/>
            <w:bottom w:w="0" w:type="dxa"/>
            <w:right w:w="108" w:type="dxa"/>
          </w:tblCellMar>
        </w:tblPrEx>
        <w:trPr>
          <w:trHeight w:val="600" w:hRule="atLeast"/>
        </w:trPr>
        <w:tc>
          <w:tcPr>
            <w:tcW w:w="1000" w:type="dxa"/>
            <w:vMerge w:val="continue"/>
            <w:tcBorders>
              <w:top w:val="nil"/>
              <w:left w:val="single" w:color="auto" w:sz="4" w:space="0"/>
              <w:bottom w:val="single" w:color="auto" w:sz="4" w:space="0"/>
              <w:right w:val="single" w:color="auto" w:sz="4" w:space="0"/>
            </w:tcBorders>
            <w:vAlign w:val="center"/>
          </w:tcPr>
          <w:p w14:paraId="4F9B557C">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335F6B32">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2C8F2340">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★支持堡垒机专用客户端和堡垒机建立加密隧道，隧道加密算法可按需选择是国密或者标密。（需要提供加盖制造商公章的功能截图）</w:t>
            </w:r>
          </w:p>
        </w:tc>
      </w:tr>
      <w:tr w14:paraId="1F8E36EC">
        <w:tblPrEx>
          <w:tblCellMar>
            <w:top w:w="0" w:type="dxa"/>
            <w:left w:w="108" w:type="dxa"/>
            <w:bottom w:w="0" w:type="dxa"/>
            <w:right w:w="108" w:type="dxa"/>
          </w:tblCellMar>
        </w:tblPrEx>
        <w:trPr>
          <w:trHeight w:val="770" w:hRule="atLeast"/>
        </w:trPr>
        <w:tc>
          <w:tcPr>
            <w:tcW w:w="1000" w:type="dxa"/>
            <w:vMerge w:val="continue"/>
            <w:tcBorders>
              <w:top w:val="nil"/>
              <w:left w:val="single" w:color="auto" w:sz="4" w:space="0"/>
              <w:bottom w:val="single" w:color="auto" w:sz="4" w:space="0"/>
              <w:right w:val="single" w:color="auto" w:sz="4" w:space="0"/>
            </w:tcBorders>
            <w:vAlign w:val="center"/>
          </w:tcPr>
          <w:p w14:paraId="3AB07AB0">
            <w:pPr>
              <w:widowControl/>
              <w:spacing w:line="276" w:lineRule="auto"/>
              <w:jc w:val="left"/>
              <w:rPr>
                <w:rFonts w:hint="eastAsia" w:ascii="宋体" w:hAnsi="宋体" w:cs="宋体"/>
                <w:color w:val="auto"/>
                <w:kern w:val="0"/>
                <w:sz w:val="24"/>
              </w:rPr>
            </w:pPr>
          </w:p>
        </w:tc>
        <w:tc>
          <w:tcPr>
            <w:tcW w:w="1320" w:type="dxa"/>
            <w:tcBorders>
              <w:top w:val="nil"/>
              <w:left w:val="nil"/>
              <w:bottom w:val="single" w:color="auto" w:sz="4" w:space="0"/>
              <w:right w:val="single" w:color="auto" w:sz="4" w:space="0"/>
            </w:tcBorders>
            <w:vAlign w:val="center"/>
          </w:tcPr>
          <w:p w14:paraId="24917383">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支持IPv6和IPv4双栈网络</w:t>
            </w:r>
          </w:p>
        </w:tc>
        <w:tc>
          <w:tcPr>
            <w:tcW w:w="6889" w:type="dxa"/>
            <w:tcBorders>
              <w:top w:val="nil"/>
              <w:left w:val="nil"/>
              <w:bottom w:val="single" w:color="auto" w:sz="4" w:space="0"/>
              <w:right w:val="single" w:color="auto" w:sz="4" w:space="0"/>
            </w:tcBorders>
            <w:vAlign w:val="center"/>
          </w:tcPr>
          <w:p w14:paraId="003D536D">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支持对IPv6和IPv4双栈网络下托管设备运维管理和用户访问。</w:t>
            </w:r>
          </w:p>
        </w:tc>
      </w:tr>
      <w:tr w14:paraId="723C07B4">
        <w:tblPrEx>
          <w:tblCellMar>
            <w:top w:w="0" w:type="dxa"/>
            <w:left w:w="108" w:type="dxa"/>
            <w:bottom w:w="0" w:type="dxa"/>
            <w:right w:w="108" w:type="dxa"/>
          </w:tblCellMar>
        </w:tblPrEx>
        <w:trPr>
          <w:trHeight w:val="480" w:hRule="atLeast"/>
        </w:trPr>
        <w:tc>
          <w:tcPr>
            <w:tcW w:w="1000" w:type="dxa"/>
            <w:vMerge w:val="restart"/>
            <w:tcBorders>
              <w:top w:val="nil"/>
              <w:left w:val="single" w:color="auto" w:sz="4" w:space="0"/>
              <w:bottom w:val="single" w:color="auto" w:sz="4" w:space="0"/>
              <w:right w:val="single" w:color="auto" w:sz="4" w:space="0"/>
            </w:tcBorders>
            <w:vAlign w:val="center"/>
          </w:tcPr>
          <w:p w14:paraId="6949C90F">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用户认证</w:t>
            </w:r>
          </w:p>
        </w:tc>
        <w:tc>
          <w:tcPr>
            <w:tcW w:w="1320" w:type="dxa"/>
            <w:tcBorders>
              <w:top w:val="nil"/>
              <w:left w:val="nil"/>
              <w:bottom w:val="single" w:color="auto" w:sz="4" w:space="0"/>
              <w:right w:val="single" w:color="auto" w:sz="4" w:space="0"/>
            </w:tcBorders>
            <w:vAlign w:val="center"/>
          </w:tcPr>
          <w:p w14:paraId="262BCB61">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用户角色自定义</w:t>
            </w:r>
          </w:p>
        </w:tc>
        <w:tc>
          <w:tcPr>
            <w:tcW w:w="6889" w:type="dxa"/>
            <w:tcBorders>
              <w:top w:val="nil"/>
              <w:left w:val="nil"/>
              <w:bottom w:val="single" w:color="auto" w:sz="4" w:space="0"/>
              <w:right w:val="single" w:color="auto" w:sz="4" w:space="0"/>
            </w:tcBorders>
            <w:vAlign w:val="center"/>
          </w:tcPr>
          <w:p w14:paraId="4B66E64C">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堡垒机具有用户角色权限自定义功能，可对用户进行细粒度权限划分，可细分用户管理，用户角色管理，资产管理，密码管理、策略管理、审计管理，支持不同角色相互组合。</w:t>
            </w:r>
          </w:p>
        </w:tc>
      </w:tr>
      <w:tr w14:paraId="6BDE7179">
        <w:tblPrEx>
          <w:tblCellMar>
            <w:top w:w="0" w:type="dxa"/>
            <w:left w:w="108" w:type="dxa"/>
            <w:bottom w:w="0" w:type="dxa"/>
            <w:right w:w="108" w:type="dxa"/>
          </w:tblCellMar>
        </w:tblPrEx>
        <w:trPr>
          <w:trHeight w:val="740" w:hRule="atLeast"/>
        </w:trPr>
        <w:tc>
          <w:tcPr>
            <w:tcW w:w="1000" w:type="dxa"/>
            <w:vMerge w:val="continue"/>
            <w:tcBorders>
              <w:top w:val="nil"/>
              <w:left w:val="single" w:color="auto" w:sz="4" w:space="0"/>
              <w:bottom w:val="single" w:color="auto" w:sz="4" w:space="0"/>
              <w:right w:val="single" w:color="auto" w:sz="4" w:space="0"/>
            </w:tcBorders>
            <w:vAlign w:val="center"/>
          </w:tcPr>
          <w:p w14:paraId="789B0CB7">
            <w:pPr>
              <w:widowControl/>
              <w:spacing w:line="276" w:lineRule="auto"/>
              <w:jc w:val="left"/>
              <w:rPr>
                <w:rFonts w:hint="eastAsia" w:ascii="宋体" w:hAnsi="宋体" w:cs="宋体"/>
                <w:color w:val="auto"/>
                <w:kern w:val="0"/>
                <w:sz w:val="24"/>
              </w:rPr>
            </w:pPr>
          </w:p>
        </w:tc>
        <w:tc>
          <w:tcPr>
            <w:tcW w:w="1320" w:type="dxa"/>
            <w:vMerge w:val="restart"/>
            <w:tcBorders>
              <w:top w:val="nil"/>
              <w:left w:val="single" w:color="auto" w:sz="4" w:space="0"/>
              <w:bottom w:val="single" w:color="auto" w:sz="4" w:space="0"/>
              <w:right w:val="single" w:color="auto" w:sz="4" w:space="0"/>
            </w:tcBorders>
            <w:noWrap/>
            <w:vAlign w:val="center"/>
          </w:tcPr>
          <w:p w14:paraId="7323A739">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多因子认证</w:t>
            </w:r>
          </w:p>
        </w:tc>
        <w:tc>
          <w:tcPr>
            <w:tcW w:w="6889" w:type="dxa"/>
            <w:tcBorders>
              <w:top w:val="nil"/>
              <w:left w:val="nil"/>
              <w:bottom w:val="single" w:color="auto" w:sz="4" w:space="0"/>
              <w:right w:val="single" w:color="auto" w:sz="4" w:space="0"/>
            </w:tcBorders>
            <w:vAlign w:val="center"/>
          </w:tcPr>
          <w:p w14:paraId="7B7320AA">
            <w:pPr>
              <w:widowControl/>
              <w:spacing w:line="276" w:lineRule="auto"/>
              <w:jc w:val="left"/>
              <w:rPr>
                <w:rFonts w:hint="eastAsia" w:ascii="宋体" w:hAnsi="宋体" w:cs="宋体"/>
                <w:b/>
                <w:bCs/>
                <w:color w:val="auto"/>
                <w:kern w:val="0"/>
                <w:sz w:val="24"/>
              </w:rPr>
            </w:pPr>
            <w:r>
              <w:rPr>
                <w:rFonts w:hint="eastAsia" w:ascii="宋体" w:hAnsi="宋体" w:cs="宋体"/>
                <w:color w:val="auto"/>
                <w:kern w:val="0"/>
                <w:sz w:val="24"/>
              </w:rPr>
              <w:t>支持多种认证方式，包括本地静态密码认证、LDAP认证、RADIUS认证、USBKEY认证、PIN+软件OTP、、硬件国密动态令牌等身份认证方式。支持不同认证方式相互组合成双因素认证。</w:t>
            </w:r>
          </w:p>
        </w:tc>
      </w:tr>
      <w:tr w14:paraId="1DE5A813">
        <w:tblPrEx>
          <w:tblCellMar>
            <w:top w:w="0" w:type="dxa"/>
            <w:left w:w="108" w:type="dxa"/>
            <w:bottom w:w="0" w:type="dxa"/>
            <w:right w:w="108" w:type="dxa"/>
          </w:tblCellMar>
        </w:tblPrEx>
        <w:trPr>
          <w:trHeight w:val="480" w:hRule="atLeast"/>
        </w:trPr>
        <w:tc>
          <w:tcPr>
            <w:tcW w:w="1000" w:type="dxa"/>
            <w:vMerge w:val="continue"/>
            <w:tcBorders>
              <w:top w:val="nil"/>
              <w:left w:val="single" w:color="auto" w:sz="4" w:space="0"/>
              <w:bottom w:val="single" w:color="auto" w:sz="4" w:space="0"/>
              <w:right w:val="single" w:color="auto" w:sz="4" w:space="0"/>
            </w:tcBorders>
            <w:vAlign w:val="center"/>
          </w:tcPr>
          <w:p w14:paraId="57FAE9F7">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4DE29191">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3DC3885E">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★支持静态密码身份认证，支持配置静态密码的有效期、最小长度要求、到期提醒、密码强度限制，弱密码字典。支持通过电子邮件、短信方式找回密码。（需要提供加盖制造商公章的功能截图）</w:t>
            </w:r>
          </w:p>
        </w:tc>
      </w:tr>
      <w:tr w14:paraId="4F0819AC">
        <w:tblPrEx>
          <w:tblCellMar>
            <w:top w:w="0" w:type="dxa"/>
            <w:left w:w="108" w:type="dxa"/>
            <w:bottom w:w="0" w:type="dxa"/>
            <w:right w:w="108" w:type="dxa"/>
          </w:tblCellMar>
        </w:tblPrEx>
        <w:trPr>
          <w:trHeight w:val="770" w:hRule="atLeast"/>
        </w:trPr>
        <w:tc>
          <w:tcPr>
            <w:tcW w:w="1000" w:type="dxa"/>
            <w:vMerge w:val="continue"/>
            <w:tcBorders>
              <w:top w:val="nil"/>
              <w:left w:val="single" w:color="auto" w:sz="4" w:space="0"/>
              <w:bottom w:val="single" w:color="auto" w:sz="4" w:space="0"/>
              <w:right w:val="single" w:color="auto" w:sz="4" w:space="0"/>
            </w:tcBorders>
            <w:vAlign w:val="center"/>
          </w:tcPr>
          <w:p w14:paraId="250D1F9C">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712D30BD">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5CCF11D0">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★支持提供静态PIN+动态OTP口令认证方式，并支持配置PIN码的有效期、到期提醒、PIN码强度及弱PIN码字典。（需要提供加盖制造商公章的功能截图）</w:t>
            </w:r>
          </w:p>
        </w:tc>
      </w:tr>
      <w:tr w14:paraId="241C38B9">
        <w:tblPrEx>
          <w:tblCellMar>
            <w:top w:w="0" w:type="dxa"/>
            <w:left w:w="108" w:type="dxa"/>
            <w:bottom w:w="0" w:type="dxa"/>
            <w:right w:w="108" w:type="dxa"/>
          </w:tblCellMar>
        </w:tblPrEx>
        <w:trPr>
          <w:trHeight w:val="280" w:hRule="atLeast"/>
        </w:trPr>
        <w:tc>
          <w:tcPr>
            <w:tcW w:w="1000" w:type="dxa"/>
            <w:vMerge w:val="continue"/>
            <w:tcBorders>
              <w:top w:val="nil"/>
              <w:left w:val="single" w:color="auto" w:sz="4" w:space="0"/>
              <w:bottom w:val="single" w:color="auto" w:sz="4" w:space="0"/>
              <w:right w:val="single" w:color="auto" w:sz="4" w:space="0"/>
            </w:tcBorders>
            <w:vAlign w:val="center"/>
          </w:tcPr>
          <w:p w14:paraId="37280112">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49CF2090">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004D8A99">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支持从LADP、AD域等手动或自动同步账号。</w:t>
            </w:r>
          </w:p>
        </w:tc>
      </w:tr>
      <w:tr w14:paraId="78A35408">
        <w:tblPrEx>
          <w:tblCellMar>
            <w:top w:w="0" w:type="dxa"/>
            <w:left w:w="108" w:type="dxa"/>
            <w:bottom w:w="0" w:type="dxa"/>
            <w:right w:w="108" w:type="dxa"/>
          </w:tblCellMar>
        </w:tblPrEx>
        <w:trPr>
          <w:trHeight w:val="280" w:hRule="atLeast"/>
        </w:trPr>
        <w:tc>
          <w:tcPr>
            <w:tcW w:w="1000" w:type="dxa"/>
            <w:vMerge w:val="continue"/>
            <w:tcBorders>
              <w:top w:val="nil"/>
              <w:left w:val="single" w:color="auto" w:sz="4" w:space="0"/>
              <w:bottom w:val="single" w:color="auto" w:sz="4" w:space="0"/>
              <w:right w:val="single" w:color="auto" w:sz="4" w:space="0"/>
            </w:tcBorders>
            <w:vAlign w:val="center"/>
          </w:tcPr>
          <w:p w14:paraId="6268EF66">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1E7C4269">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21F5A0BB">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支持主机账号密码强度约束，不符合强度的密码无法创建</w:t>
            </w:r>
          </w:p>
        </w:tc>
      </w:tr>
      <w:tr w14:paraId="3A109209">
        <w:tblPrEx>
          <w:tblCellMar>
            <w:top w:w="0" w:type="dxa"/>
            <w:left w:w="108" w:type="dxa"/>
            <w:bottom w:w="0" w:type="dxa"/>
            <w:right w:w="108" w:type="dxa"/>
          </w:tblCellMar>
        </w:tblPrEx>
        <w:trPr>
          <w:trHeight w:val="280" w:hRule="atLeast"/>
        </w:trPr>
        <w:tc>
          <w:tcPr>
            <w:tcW w:w="1000" w:type="dxa"/>
            <w:vMerge w:val="restart"/>
            <w:tcBorders>
              <w:top w:val="nil"/>
              <w:left w:val="single" w:color="auto" w:sz="4" w:space="0"/>
              <w:bottom w:val="single" w:color="000000" w:sz="4" w:space="0"/>
              <w:right w:val="single" w:color="auto" w:sz="4" w:space="0"/>
            </w:tcBorders>
            <w:vAlign w:val="center"/>
          </w:tcPr>
          <w:p w14:paraId="68DC2393">
            <w:pPr>
              <w:widowControl/>
              <w:spacing w:line="276" w:lineRule="auto"/>
              <w:jc w:val="center"/>
              <w:rPr>
                <w:rFonts w:hint="eastAsia" w:ascii="宋体" w:hAnsi="宋体" w:cs="宋体"/>
                <w:color w:val="auto"/>
                <w:kern w:val="0"/>
                <w:sz w:val="24"/>
              </w:rPr>
            </w:pPr>
            <w:r>
              <w:rPr>
                <w:rFonts w:hint="eastAsia" w:ascii="宋体" w:hAnsi="宋体" w:cs="宋体"/>
                <w:color w:val="auto"/>
                <w:kern w:val="0"/>
                <w:sz w:val="24"/>
              </w:rPr>
              <w:t>　运维</w:t>
            </w:r>
          </w:p>
        </w:tc>
        <w:tc>
          <w:tcPr>
            <w:tcW w:w="1320" w:type="dxa"/>
            <w:vMerge w:val="restart"/>
            <w:tcBorders>
              <w:top w:val="nil"/>
              <w:left w:val="single" w:color="auto" w:sz="4" w:space="0"/>
              <w:bottom w:val="single" w:color="auto" w:sz="4" w:space="0"/>
              <w:right w:val="single" w:color="auto" w:sz="4" w:space="0"/>
            </w:tcBorders>
            <w:vAlign w:val="center"/>
          </w:tcPr>
          <w:p w14:paraId="33015F61">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资产运维</w:t>
            </w:r>
          </w:p>
        </w:tc>
        <w:tc>
          <w:tcPr>
            <w:tcW w:w="6889" w:type="dxa"/>
            <w:tcBorders>
              <w:top w:val="nil"/>
              <w:left w:val="nil"/>
              <w:bottom w:val="single" w:color="auto" w:sz="4" w:space="0"/>
              <w:right w:val="single" w:color="auto" w:sz="4" w:space="0"/>
            </w:tcBorders>
            <w:vAlign w:val="center"/>
          </w:tcPr>
          <w:p w14:paraId="1A3F8E66">
            <w:pPr>
              <w:widowControl/>
              <w:spacing w:line="276" w:lineRule="auto"/>
              <w:jc w:val="left"/>
              <w:rPr>
                <w:rFonts w:hint="eastAsia" w:ascii="宋体" w:hAnsi="宋体" w:cs="宋体"/>
                <w:b/>
                <w:bCs/>
                <w:color w:val="auto"/>
                <w:kern w:val="0"/>
                <w:sz w:val="24"/>
              </w:rPr>
            </w:pPr>
            <w:r>
              <w:rPr>
                <w:rFonts w:hint="eastAsia" w:ascii="宋体" w:hAnsi="宋体" w:cs="宋体"/>
                <w:color w:val="auto"/>
                <w:kern w:val="0"/>
                <w:sz w:val="24"/>
              </w:rPr>
              <w:t>支持通过堡垒机直接代理HTTP/HTTPS协议，无需前置机。</w:t>
            </w:r>
          </w:p>
        </w:tc>
      </w:tr>
      <w:tr w14:paraId="5EB88811">
        <w:tblPrEx>
          <w:tblCellMar>
            <w:top w:w="0" w:type="dxa"/>
            <w:left w:w="108" w:type="dxa"/>
            <w:bottom w:w="0" w:type="dxa"/>
            <w:right w:w="108" w:type="dxa"/>
          </w:tblCellMar>
        </w:tblPrEx>
        <w:trPr>
          <w:trHeight w:val="720" w:hRule="atLeast"/>
        </w:trPr>
        <w:tc>
          <w:tcPr>
            <w:tcW w:w="1000" w:type="dxa"/>
            <w:vMerge w:val="continue"/>
            <w:tcBorders>
              <w:top w:val="nil"/>
              <w:left w:val="single" w:color="auto" w:sz="4" w:space="0"/>
              <w:bottom w:val="single" w:color="000000" w:sz="4" w:space="0"/>
              <w:right w:val="single" w:color="auto" w:sz="4" w:space="0"/>
            </w:tcBorders>
            <w:vAlign w:val="center"/>
          </w:tcPr>
          <w:p w14:paraId="0F319291">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1430F987">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0F1664E0">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数据库的库名和表名权限控制，可自定义数据库的库名/表名集合，并支持定义符合集合以及不合符集合的处置措施，支持阻断和授权工单两种处置措施。授权工单模式下，可以定义工单过期时间以及被引用的工单模版。</w:t>
            </w:r>
          </w:p>
        </w:tc>
      </w:tr>
      <w:tr w14:paraId="5F9B8BBE">
        <w:tblPrEx>
          <w:tblCellMar>
            <w:top w:w="0" w:type="dxa"/>
            <w:left w:w="108" w:type="dxa"/>
            <w:bottom w:w="0" w:type="dxa"/>
            <w:right w:w="108" w:type="dxa"/>
          </w:tblCellMar>
        </w:tblPrEx>
        <w:trPr>
          <w:trHeight w:val="670" w:hRule="atLeast"/>
        </w:trPr>
        <w:tc>
          <w:tcPr>
            <w:tcW w:w="1000" w:type="dxa"/>
            <w:vMerge w:val="continue"/>
            <w:tcBorders>
              <w:top w:val="nil"/>
              <w:left w:val="single" w:color="auto" w:sz="4" w:space="0"/>
              <w:bottom w:val="single" w:color="000000" w:sz="4" w:space="0"/>
              <w:right w:val="single" w:color="auto" w:sz="4" w:space="0"/>
            </w:tcBorders>
            <w:vAlign w:val="center"/>
          </w:tcPr>
          <w:p w14:paraId="5209B81B">
            <w:pPr>
              <w:widowControl/>
              <w:spacing w:line="276" w:lineRule="auto"/>
              <w:jc w:val="left"/>
              <w:rPr>
                <w:rFonts w:hint="eastAsia" w:ascii="宋体" w:hAnsi="宋体" w:cs="宋体"/>
                <w:color w:val="auto"/>
                <w:kern w:val="0"/>
                <w:sz w:val="24"/>
              </w:rPr>
            </w:pPr>
          </w:p>
        </w:tc>
        <w:tc>
          <w:tcPr>
            <w:tcW w:w="1320" w:type="dxa"/>
            <w:tcBorders>
              <w:top w:val="nil"/>
              <w:left w:val="nil"/>
              <w:bottom w:val="single" w:color="auto" w:sz="4" w:space="0"/>
              <w:right w:val="single" w:color="auto" w:sz="4" w:space="0"/>
            </w:tcBorders>
            <w:vAlign w:val="center"/>
          </w:tcPr>
          <w:p w14:paraId="67958D8E">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认证策略</w:t>
            </w:r>
          </w:p>
        </w:tc>
        <w:tc>
          <w:tcPr>
            <w:tcW w:w="6889" w:type="dxa"/>
            <w:tcBorders>
              <w:top w:val="nil"/>
              <w:left w:val="nil"/>
              <w:bottom w:val="single" w:color="auto" w:sz="4" w:space="0"/>
              <w:right w:val="single" w:color="auto" w:sz="4" w:space="0"/>
            </w:tcBorders>
            <w:vAlign w:val="center"/>
          </w:tcPr>
          <w:p w14:paraId="2FEB65BE">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★支持根据</w:t>
            </w:r>
            <w:r>
              <w:rPr>
                <w:rFonts w:hint="eastAsia" w:ascii="宋体" w:hAnsi="宋体" w:cs="宋体"/>
                <w:color w:val="auto"/>
                <w:kern w:val="0"/>
                <w:sz w:val="24"/>
                <w:lang w:val="en-US" w:eastAsia="zh-CN"/>
              </w:rPr>
              <w:t>组织</w:t>
            </w:r>
            <w:r>
              <w:rPr>
                <w:rFonts w:hint="eastAsia" w:ascii="宋体" w:hAnsi="宋体" w:cs="宋体"/>
                <w:color w:val="auto"/>
                <w:kern w:val="0"/>
                <w:sz w:val="24"/>
              </w:rPr>
              <w:t>/角色/访问时间/网络地址/终端类型来定义用户的认证方式和是否必须使用双因子认证，精细化管理用户认证策略且在同一策略条件内，支持为不同客户端（桌面端、Web门户）接入用户提供不同认证方式选择。（需要提供加盖制造商公章的功能截图）</w:t>
            </w:r>
          </w:p>
        </w:tc>
      </w:tr>
      <w:tr w14:paraId="23A0BA1F">
        <w:tblPrEx>
          <w:tblCellMar>
            <w:top w:w="0" w:type="dxa"/>
            <w:left w:w="108" w:type="dxa"/>
            <w:bottom w:w="0" w:type="dxa"/>
            <w:right w:w="108" w:type="dxa"/>
          </w:tblCellMar>
        </w:tblPrEx>
        <w:trPr>
          <w:trHeight w:val="830" w:hRule="atLeast"/>
        </w:trPr>
        <w:tc>
          <w:tcPr>
            <w:tcW w:w="1000" w:type="dxa"/>
            <w:vMerge w:val="continue"/>
            <w:tcBorders>
              <w:top w:val="nil"/>
              <w:left w:val="single" w:color="auto" w:sz="4" w:space="0"/>
              <w:bottom w:val="single" w:color="000000" w:sz="4" w:space="0"/>
              <w:right w:val="single" w:color="auto" w:sz="4" w:space="0"/>
            </w:tcBorders>
            <w:vAlign w:val="center"/>
          </w:tcPr>
          <w:p w14:paraId="4F2905FC">
            <w:pPr>
              <w:widowControl/>
              <w:spacing w:line="276" w:lineRule="auto"/>
              <w:jc w:val="left"/>
              <w:rPr>
                <w:rFonts w:hint="eastAsia" w:ascii="宋体" w:hAnsi="宋体" w:cs="宋体"/>
                <w:color w:val="auto"/>
                <w:kern w:val="0"/>
                <w:sz w:val="24"/>
              </w:rPr>
            </w:pPr>
          </w:p>
        </w:tc>
        <w:tc>
          <w:tcPr>
            <w:tcW w:w="1320" w:type="dxa"/>
            <w:vMerge w:val="restart"/>
            <w:tcBorders>
              <w:top w:val="nil"/>
              <w:left w:val="single" w:color="auto" w:sz="4" w:space="0"/>
              <w:bottom w:val="single" w:color="auto" w:sz="4" w:space="0"/>
              <w:right w:val="single" w:color="auto" w:sz="4" w:space="0"/>
            </w:tcBorders>
            <w:vAlign w:val="center"/>
          </w:tcPr>
          <w:p w14:paraId="3AC5BFDD">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授权策略</w:t>
            </w:r>
          </w:p>
        </w:tc>
        <w:tc>
          <w:tcPr>
            <w:tcW w:w="6889" w:type="dxa"/>
            <w:tcBorders>
              <w:top w:val="nil"/>
              <w:left w:val="nil"/>
              <w:bottom w:val="single" w:color="auto" w:sz="4" w:space="0"/>
              <w:right w:val="single" w:color="auto" w:sz="4" w:space="0"/>
            </w:tcBorders>
            <w:vAlign w:val="center"/>
          </w:tcPr>
          <w:p w14:paraId="3FF37BF4">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★支持基于用户、用户组、组织机构、角色和用户属性的静态授权，通过不同授权模型满足运维管控要求。（需要提供加盖制造商公章的功能截图）</w:t>
            </w:r>
          </w:p>
        </w:tc>
      </w:tr>
      <w:tr w14:paraId="6843EFB6">
        <w:tblPrEx>
          <w:tblCellMar>
            <w:top w:w="0" w:type="dxa"/>
            <w:left w:w="108" w:type="dxa"/>
            <w:bottom w:w="0" w:type="dxa"/>
            <w:right w:w="108" w:type="dxa"/>
          </w:tblCellMar>
        </w:tblPrEx>
        <w:trPr>
          <w:trHeight w:val="950" w:hRule="atLeast"/>
        </w:trPr>
        <w:tc>
          <w:tcPr>
            <w:tcW w:w="1000" w:type="dxa"/>
            <w:vMerge w:val="continue"/>
            <w:tcBorders>
              <w:top w:val="nil"/>
              <w:left w:val="single" w:color="auto" w:sz="4" w:space="0"/>
              <w:bottom w:val="single" w:color="000000" w:sz="4" w:space="0"/>
              <w:right w:val="single" w:color="auto" w:sz="4" w:space="0"/>
            </w:tcBorders>
            <w:vAlign w:val="center"/>
          </w:tcPr>
          <w:p w14:paraId="64BAE4FF">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2A061075">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61A826DA">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★支持基于网络、位置、时间的动态授权，并支持仅告警、二次认证、授权审批和阻断的授权管理动作。</w:t>
            </w:r>
          </w:p>
        </w:tc>
      </w:tr>
      <w:tr w14:paraId="2A6E6CC6">
        <w:tblPrEx>
          <w:tblCellMar>
            <w:top w:w="0" w:type="dxa"/>
            <w:left w:w="108" w:type="dxa"/>
            <w:bottom w:w="0" w:type="dxa"/>
            <w:right w:w="108" w:type="dxa"/>
          </w:tblCellMar>
        </w:tblPrEx>
        <w:trPr>
          <w:trHeight w:val="960" w:hRule="atLeast"/>
        </w:trPr>
        <w:tc>
          <w:tcPr>
            <w:tcW w:w="1000" w:type="dxa"/>
            <w:vMerge w:val="continue"/>
            <w:tcBorders>
              <w:top w:val="nil"/>
              <w:left w:val="single" w:color="auto" w:sz="4" w:space="0"/>
              <w:bottom w:val="single" w:color="000000" w:sz="4" w:space="0"/>
              <w:right w:val="single" w:color="auto" w:sz="4" w:space="0"/>
            </w:tcBorders>
            <w:vAlign w:val="center"/>
          </w:tcPr>
          <w:p w14:paraId="47BB76B9">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322F8658">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5EA7ADF1">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支持分别自定义多个资产访问工单模版和授权策略工单模版，两个模版均可定义至少</w:t>
            </w:r>
            <w:r>
              <w:rPr>
                <w:rFonts w:hint="eastAsia" w:ascii="宋体" w:hAnsi="宋体" w:cs="宋体"/>
                <w:color w:val="auto"/>
                <w:kern w:val="0"/>
                <w:sz w:val="24"/>
                <w:lang w:val="en-US" w:eastAsia="zh-CN"/>
              </w:rPr>
              <w:t>5</w:t>
            </w:r>
            <w:r>
              <w:rPr>
                <w:rFonts w:hint="eastAsia" w:ascii="宋体" w:hAnsi="宋体" w:cs="宋体"/>
                <w:color w:val="auto"/>
                <w:kern w:val="0"/>
                <w:sz w:val="24"/>
              </w:rPr>
              <w:t>级审批人，且每级审批可选多个审批人至少几人审批通过。支持为不同部门定义不同的资产访问工单模版，同时也可在主机命令控制、数据库命令控制、数据库库/表权限控制、基于时间/位置/网络的动态访问控制等策略引用不同的授权策略工单模版，从而保证工单审批的灵活性。</w:t>
            </w:r>
          </w:p>
        </w:tc>
      </w:tr>
      <w:tr w14:paraId="4F71E025">
        <w:tblPrEx>
          <w:tblCellMar>
            <w:top w:w="0" w:type="dxa"/>
            <w:left w:w="108" w:type="dxa"/>
            <w:bottom w:w="0" w:type="dxa"/>
            <w:right w:w="108" w:type="dxa"/>
          </w:tblCellMar>
        </w:tblPrEx>
        <w:trPr>
          <w:trHeight w:val="480" w:hRule="atLeast"/>
        </w:trPr>
        <w:tc>
          <w:tcPr>
            <w:tcW w:w="1000" w:type="dxa"/>
            <w:vMerge w:val="restart"/>
            <w:tcBorders>
              <w:top w:val="nil"/>
              <w:left w:val="single" w:color="auto" w:sz="4" w:space="0"/>
              <w:bottom w:val="single" w:color="auto" w:sz="4" w:space="0"/>
              <w:right w:val="single" w:color="auto" w:sz="4" w:space="0"/>
            </w:tcBorders>
            <w:vAlign w:val="center"/>
          </w:tcPr>
          <w:p w14:paraId="5010A2BD">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审计</w:t>
            </w:r>
          </w:p>
        </w:tc>
        <w:tc>
          <w:tcPr>
            <w:tcW w:w="1320" w:type="dxa"/>
            <w:tcBorders>
              <w:top w:val="nil"/>
              <w:left w:val="nil"/>
              <w:bottom w:val="single" w:color="auto" w:sz="4" w:space="0"/>
              <w:right w:val="single" w:color="auto" w:sz="4" w:space="0"/>
            </w:tcBorders>
            <w:vAlign w:val="center"/>
          </w:tcPr>
          <w:p w14:paraId="4FE97EBF">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运维管控</w:t>
            </w:r>
          </w:p>
        </w:tc>
        <w:tc>
          <w:tcPr>
            <w:tcW w:w="6889" w:type="dxa"/>
            <w:tcBorders>
              <w:top w:val="nil"/>
              <w:left w:val="nil"/>
              <w:bottom w:val="single" w:color="auto" w:sz="4" w:space="0"/>
              <w:right w:val="single" w:color="auto" w:sz="4" w:space="0"/>
            </w:tcBorders>
            <w:vAlign w:val="center"/>
          </w:tcPr>
          <w:p w14:paraId="09620BA4">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★支持可通过参数配置开启或关闭字符、图形、文件、数据库等协议的审计范围，但不影响对应协议的基础会话审计。（需要提供加盖制造商公章的功能截图）</w:t>
            </w:r>
          </w:p>
        </w:tc>
      </w:tr>
      <w:tr w14:paraId="256DD5ED">
        <w:tblPrEx>
          <w:tblCellMar>
            <w:top w:w="0" w:type="dxa"/>
            <w:left w:w="108" w:type="dxa"/>
            <w:bottom w:w="0" w:type="dxa"/>
            <w:right w:w="108" w:type="dxa"/>
          </w:tblCellMar>
        </w:tblPrEx>
        <w:trPr>
          <w:trHeight w:val="480" w:hRule="atLeast"/>
        </w:trPr>
        <w:tc>
          <w:tcPr>
            <w:tcW w:w="1000" w:type="dxa"/>
            <w:vMerge w:val="continue"/>
            <w:tcBorders>
              <w:top w:val="nil"/>
              <w:left w:val="single" w:color="auto" w:sz="4" w:space="0"/>
              <w:bottom w:val="single" w:color="auto" w:sz="4" w:space="0"/>
              <w:right w:val="single" w:color="auto" w:sz="4" w:space="0"/>
            </w:tcBorders>
            <w:vAlign w:val="center"/>
          </w:tcPr>
          <w:p w14:paraId="17FBA1BE">
            <w:pPr>
              <w:widowControl/>
              <w:spacing w:line="276" w:lineRule="auto"/>
              <w:jc w:val="left"/>
              <w:rPr>
                <w:rFonts w:hint="eastAsia" w:ascii="宋体" w:hAnsi="宋体" w:cs="宋体"/>
                <w:color w:val="auto"/>
                <w:kern w:val="0"/>
                <w:sz w:val="24"/>
              </w:rPr>
            </w:pPr>
          </w:p>
        </w:tc>
        <w:tc>
          <w:tcPr>
            <w:tcW w:w="1320" w:type="dxa"/>
            <w:tcBorders>
              <w:top w:val="nil"/>
              <w:left w:val="single" w:color="auto" w:sz="4" w:space="0"/>
              <w:bottom w:val="single" w:color="auto" w:sz="4" w:space="0"/>
              <w:right w:val="single" w:color="auto" w:sz="4" w:space="0"/>
            </w:tcBorders>
            <w:vAlign w:val="center"/>
          </w:tcPr>
          <w:p w14:paraId="2786FB0B">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日志管理</w:t>
            </w:r>
          </w:p>
        </w:tc>
        <w:tc>
          <w:tcPr>
            <w:tcW w:w="6889" w:type="dxa"/>
            <w:tcBorders>
              <w:top w:val="nil"/>
              <w:left w:val="nil"/>
              <w:bottom w:val="single" w:color="auto" w:sz="4" w:space="0"/>
              <w:right w:val="single" w:color="auto" w:sz="4" w:space="0"/>
            </w:tcBorders>
            <w:vAlign w:val="center"/>
          </w:tcPr>
          <w:p w14:paraId="6CF541DD">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★支持运维审计，审计日志包括认证日志、授权日志、网页审计、图形审计、字符审计、文件审计、数据库审计、隧道日志、系统日志。（需要提供加盖制造商公章的功能截图）</w:t>
            </w:r>
          </w:p>
        </w:tc>
      </w:tr>
      <w:tr w14:paraId="5453DB96">
        <w:tblPrEx>
          <w:tblCellMar>
            <w:top w:w="0" w:type="dxa"/>
            <w:left w:w="108" w:type="dxa"/>
            <w:bottom w:w="0" w:type="dxa"/>
            <w:right w:w="108" w:type="dxa"/>
          </w:tblCellMar>
        </w:tblPrEx>
        <w:trPr>
          <w:trHeight w:val="480" w:hRule="atLeast"/>
        </w:trPr>
        <w:tc>
          <w:tcPr>
            <w:tcW w:w="1000" w:type="dxa"/>
            <w:vMerge w:val="restart"/>
            <w:tcBorders>
              <w:top w:val="nil"/>
              <w:left w:val="single" w:color="auto" w:sz="4" w:space="0"/>
              <w:bottom w:val="single" w:color="auto" w:sz="4" w:space="0"/>
              <w:right w:val="single" w:color="auto" w:sz="4" w:space="0"/>
            </w:tcBorders>
            <w:vAlign w:val="center"/>
          </w:tcPr>
          <w:p w14:paraId="7050B789">
            <w:pPr>
              <w:widowControl/>
              <w:spacing w:line="276" w:lineRule="auto"/>
              <w:jc w:val="center"/>
              <w:rPr>
                <w:rFonts w:hint="eastAsia" w:ascii="宋体" w:hAnsi="宋体" w:cs="宋体"/>
                <w:color w:val="auto"/>
                <w:kern w:val="0"/>
                <w:sz w:val="24"/>
              </w:rPr>
            </w:pPr>
            <w:r>
              <w:rPr>
                <w:rFonts w:hint="eastAsia" w:ascii="宋体" w:hAnsi="宋体" w:cs="宋体"/>
                <w:color w:val="auto"/>
                <w:kern w:val="0"/>
                <w:sz w:val="24"/>
              </w:rPr>
              <w:t>自动化运维</w:t>
            </w:r>
          </w:p>
        </w:tc>
        <w:tc>
          <w:tcPr>
            <w:tcW w:w="1320" w:type="dxa"/>
            <w:vMerge w:val="restart"/>
            <w:tcBorders>
              <w:top w:val="nil"/>
              <w:left w:val="single" w:color="auto" w:sz="4" w:space="0"/>
              <w:bottom w:val="single" w:color="auto" w:sz="4" w:space="0"/>
              <w:right w:val="single" w:color="auto" w:sz="4" w:space="0"/>
            </w:tcBorders>
            <w:vAlign w:val="center"/>
          </w:tcPr>
          <w:p w14:paraId="577C830B">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自动化运维</w:t>
            </w:r>
          </w:p>
        </w:tc>
        <w:tc>
          <w:tcPr>
            <w:tcW w:w="6889" w:type="dxa"/>
            <w:tcBorders>
              <w:top w:val="nil"/>
              <w:left w:val="nil"/>
              <w:bottom w:val="single" w:color="auto" w:sz="4" w:space="0"/>
              <w:right w:val="single" w:color="auto" w:sz="4" w:space="0"/>
            </w:tcBorders>
            <w:vAlign w:val="center"/>
          </w:tcPr>
          <w:p w14:paraId="391BE0A7">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支持自动化运维，支持自定义自动化脚本。支持设定任务为手动、定时和周期执行方式。支持登录后自动执行脚本，执行完后堡垒机保存运维记录。</w:t>
            </w:r>
          </w:p>
        </w:tc>
      </w:tr>
      <w:tr w14:paraId="3631B5C7">
        <w:tblPrEx>
          <w:tblCellMar>
            <w:top w:w="0" w:type="dxa"/>
            <w:left w:w="108" w:type="dxa"/>
            <w:bottom w:w="0" w:type="dxa"/>
            <w:right w:w="108" w:type="dxa"/>
          </w:tblCellMar>
        </w:tblPrEx>
        <w:trPr>
          <w:trHeight w:val="500" w:hRule="atLeast"/>
        </w:trPr>
        <w:tc>
          <w:tcPr>
            <w:tcW w:w="1000" w:type="dxa"/>
            <w:vMerge w:val="continue"/>
            <w:tcBorders>
              <w:top w:val="nil"/>
              <w:left w:val="single" w:color="auto" w:sz="4" w:space="0"/>
              <w:bottom w:val="single" w:color="auto" w:sz="4" w:space="0"/>
              <w:right w:val="single" w:color="auto" w:sz="4" w:space="0"/>
            </w:tcBorders>
            <w:vAlign w:val="center"/>
          </w:tcPr>
          <w:p w14:paraId="3F5CA876">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596AE2B8">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4D8415AD">
            <w:pPr>
              <w:widowControl/>
              <w:spacing w:line="276" w:lineRule="auto"/>
              <w:jc w:val="left"/>
              <w:rPr>
                <w:rFonts w:hint="eastAsia" w:ascii="宋体" w:hAnsi="宋体" w:cs="宋体"/>
                <w:b/>
                <w:bCs/>
                <w:color w:val="auto"/>
                <w:kern w:val="0"/>
                <w:sz w:val="24"/>
              </w:rPr>
            </w:pPr>
            <w:r>
              <w:rPr>
                <w:rFonts w:hint="eastAsia" w:ascii="宋体" w:hAnsi="宋体" w:cs="宋体"/>
                <w:color w:val="auto"/>
                <w:kern w:val="0"/>
                <w:sz w:val="24"/>
              </w:rPr>
              <w:t>★支持自动化运维功能，支持window bat脚本、windows ps脚本、linux shell脚本、python脚本等脚本类型。（需要提供加盖制造商公章的功能截图）</w:t>
            </w:r>
          </w:p>
        </w:tc>
      </w:tr>
      <w:tr w14:paraId="3296C0AE">
        <w:tblPrEx>
          <w:tblCellMar>
            <w:top w:w="0" w:type="dxa"/>
            <w:left w:w="108" w:type="dxa"/>
            <w:bottom w:w="0" w:type="dxa"/>
            <w:right w:w="108" w:type="dxa"/>
          </w:tblCellMar>
        </w:tblPrEx>
        <w:trPr>
          <w:trHeight w:val="280" w:hRule="atLeast"/>
        </w:trPr>
        <w:tc>
          <w:tcPr>
            <w:tcW w:w="1000" w:type="dxa"/>
            <w:vMerge w:val="restart"/>
            <w:tcBorders>
              <w:top w:val="nil"/>
              <w:left w:val="single" w:color="auto" w:sz="4" w:space="0"/>
              <w:bottom w:val="single" w:color="auto" w:sz="4" w:space="0"/>
              <w:right w:val="single" w:color="auto" w:sz="4" w:space="0"/>
            </w:tcBorders>
            <w:vAlign w:val="center"/>
          </w:tcPr>
          <w:p w14:paraId="059B9C8C">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资质</w:t>
            </w:r>
          </w:p>
        </w:tc>
        <w:tc>
          <w:tcPr>
            <w:tcW w:w="1320" w:type="dxa"/>
            <w:vMerge w:val="restart"/>
            <w:tcBorders>
              <w:top w:val="nil"/>
              <w:left w:val="single" w:color="auto" w:sz="4" w:space="0"/>
              <w:bottom w:val="single" w:color="auto" w:sz="4" w:space="0"/>
              <w:right w:val="single" w:color="auto" w:sz="4" w:space="0"/>
            </w:tcBorders>
            <w:vAlign w:val="center"/>
          </w:tcPr>
          <w:p w14:paraId="22412546">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rPr>
              <w:t>产品资质</w:t>
            </w:r>
          </w:p>
        </w:tc>
        <w:tc>
          <w:tcPr>
            <w:tcW w:w="6889" w:type="dxa"/>
            <w:tcBorders>
              <w:top w:val="nil"/>
              <w:left w:val="nil"/>
              <w:bottom w:val="single" w:color="auto" w:sz="4" w:space="0"/>
              <w:right w:val="single" w:color="auto" w:sz="4" w:space="0"/>
            </w:tcBorders>
            <w:vAlign w:val="center"/>
          </w:tcPr>
          <w:p w14:paraId="25B87FFB">
            <w:pPr>
              <w:widowControl/>
              <w:spacing w:line="276" w:lineRule="auto"/>
              <w:jc w:val="left"/>
              <w:rPr>
                <w:rFonts w:hint="eastAsia" w:ascii="宋体" w:hAnsi="宋体" w:cs="宋体"/>
                <w:b/>
                <w:bCs/>
                <w:strike/>
                <w:color w:val="auto"/>
                <w:kern w:val="0"/>
                <w:sz w:val="24"/>
                <w:highlight w:val="red"/>
              </w:rPr>
            </w:pPr>
            <w:r>
              <w:rPr>
                <w:rFonts w:hint="eastAsia" w:ascii="宋体" w:hAnsi="宋体" w:cs="宋体"/>
                <w:color w:val="auto"/>
                <w:kern w:val="0"/>
                <w:sz w:val="24"/>
              </w:rPr>
              <w:t>★拥有软件著作权证书，厂家需具备产品自主知识产权，禁止OEM贴牌投标，提供产品软件著作权并加盖制造商公章。</w:t>
            </w:r>
          </w:p>
        </w:tc>
      </w:tr>
      <w:tr w14:paraId="5CF44586">
        <w:tblPrEx>
          <w:tblCellMar>
            <w:top w:w="0" w:type="dxa"/>
            <w:left w:w="108" w:type="dxa"/>
            <w:bottom w:w="0" w:type="dxa"/>
            <w:right w:w="108" w:type="dxa"/>
          </w:tblCellMar>
        </w:tblPrEx>
        <w:trPr>
          <w:trHeight w:val="280" w:hRule="atLeast"/>
        </w:trPr>
        <w:tc>
          <w:tcPr>
            <w:tcW w:w="1000" w:type="dxa"/>
            <w:vMerge w:val="continue"/>
            <w:tcBorders>
              <w:top w:val="nil"/>
              <w:left w:val="single" w:color="auto" w:sz="4" w:space="0"/>
              <w:bottom w:val="single" w:color="auto" w:sz="4" w:space="0"/>
              <w:right w:val="single" w:color="auto" w:sz="4" w:space="0"/>
            </w:tcBorders>
            <w:vAlign w:val="center"/>
          </w:tcPr>
          <w:p w14:paraId="42F7DE1C">
            <w:pPr>
              <w:widowControl/>
              <w:spacing w:line="276" w:lineRule="auto"/>
              <w:jc w:val="left"/>
              <w:rPr>
                <w:rFonts w:hint="eastAsia" w:ascii="宋体" w:hAnsi="宋体" w:cs="宋体"/>
                <w:color w:val="auto"/>
                <w:kern w:val="0"/>
                <w:sz w:val="24"/>
              </w:rPr>
            </w:pPr>
          </w:p>
        </w:tc>
        <w:tc>
          <w:tcPr>
            <w:tcW w:w="1320" w:type="dxa"/>
            <w:vMerge w:val="continue"/>
            <w:tcBorders>
              <w:top w:val="nil"/>
              <w:left w:val="single" w:color="auto" w:sz="4" w:space="0"/>
              <w:bottom w:val="single" w:color="auto" w:sz="4" w:space="0"/>
              <w:right w:val="single" w:color="auto" w:sz="4" w:space="0"/>
            </w:tcBorders>
            <w:vAlign w:val="center"/>
          </w:tcPr>
          <w:p w14:paraId="5369DEEE">
            <w:pPr>
              <w:widowControl/>
              <w:spacing w:line="276" w:lineRule="auto"/>
              <w:jc w:val="left"/>
              <w:rPr>
                <w:rFonts w:hint="eastAsia" w:ascii="宋体" w:hAnsi="宋体" w:cs="宋体"/>
                <w:color w:val="auto"/>
                <w:kern w:val="0"/>
                <w:sz w:val="24"/>
              </w:rPr>
            </w:pPr>
          </w:p>
        </w:tc>
        <w:tc>
          <w:tcPr>
            <w:tcW w:w="6889" w:type="dxa"/>
            <w:tcBorders>
              <w:top w:val="nil"/>
              <w:left w:val="nil"/>
              <w:bottom w:val="single" w:color="auto" w:sz="4" w:space="0"/>
              <w:right w:val="single" w:color="auto" w:sz="4" w:space="0"/>
            </w:tcBorders>
            <w:vAlign w:val="center"/>
          </w:tcPr>
          <w:p w14:paraId="3C0EA5C9">
            <w:pPr>
              <w:widowControl/>
              <w:spacing w:line="276" w:lineRule="auto"/>
              <w:jc w:val="left"/>
              <w:rPr>
                <w:rFonts w:hint="eastAsia" w:ascii="宋体" w:hAnsi="宋体" w:cs="宋体"/>
                <w:b/>
                <w:bCs/>
                <w:color w:val="auto"/>
                <w:kern w:val="0"/>
                <w:sz w:val="24"/>
              </w:rPr>
            </w:pPr>
            <w:r>
              <w:rPr>
                <w:rFonts w:hint="eastAsia" w:ascii="宋体" w:hAnsi="宋体" w:cs="宋体"/>
                <w:color w:val="auto"/>
                <w:kern w:val="0"/>
                <w:sz w:val="24"/>
              </w:rPr>
              <w:t>★提供产品《网络关键设备和网络安全专用产品认证证书》或《网络安全专用产品安全检测证书》相关资质证书并加盖制造商公章。</w:t>
            </w:r>
          </w:p>
        </w:tc>
      </w:tr>
      <w:tr w14:paraId="3E80B548">
        <w:tblPrEx>
          <w:tblCellMar>
            <w:top w:w="0" w:type="dxa"/>
            <w:left w:w="108" w:type="dxa"/>
            <w:bottom w:w="0" w:type="dxa"/>
            <w:right w:w="108" w:type="dxa"/>
          </w:tblCellMar>
        </w:tblPrEx>
        <w:trPr>
          <w:trHeight w:val="280" w:hRule="atLeast"/>
        </w:trPr>
        <w:tc>
          <w:tcPr>
            <w:tcW w:w="1000" w:type="dxa"/>
            <w:tcBorders>
              <w:top w:val="single" w:color="auto" w:sz="4" w:space="0"/>
              <w:left w:val="single" w:color="auto" w:sz="4" w:space="0"/>
              <w:bottom w:val="single" w:color="auto" w:sz="4" w:space="0"/>
              <w:right w:val="single" w:color="auto" w:sz="4" w:space="0"/>
            </w:tcBorders>
            <w:vAlign w:val="center"/>
          </w:tcPr>
          <w:p w14:paraId="7AAAE34F">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szCs w:val="24"/>
              </w:rPr>
              <w:t>★</w:t>
            </w:r>
            <w:r>
              <w:rPr>
                <w:rFonts w:hint="eastAsia" w:ascii="宋体" w:hAnsi="宋体" w:eastAsia="宋体" w:cs="宋体"/>
                <w:sz w:val="24"/>
                <w:szCs w:val="24"/>
                <w:highlight w:val="none"/>
                <w:lang w:eastAsia="zh-CN"/>
              </w:rPr>
              <w:t>自主可控要求</w:t>
            </w:r>
          </w:p>
        </w:tc>
        <w:tc>
          <w:tcPr>
            <w:tcW w:w="1320" w:type="dxa"/>
            <w:tcBorders>
              <w:top w:val="single" w:color="auto" w:sz="4" w:space="0"/>
              <w:left w:val="single" w:color="auto" w:sz="4" w:space="0"/>
              <w:bottom w:val="single" w:color="auto" w:sz="4" w:space="0"/>
              <w:right w:val="single" w:color="auto" w:sz="4" w:space="0"/>
            </w:tcBorders>
            <w:vAlign w:val="center"/>
          </w:tcPr>
          <w:p w14:paraId="7C9C27D6">
            <w:pPr>
              <w:widowControl/>
              <w:spacing w:line="276" w:lineRule="auto"/>
              <w:jc w:val="left"/>
              <w:rPr>
                <w:rFonts w:hint="eastAsia" w:ascii="宋体" w:hAnsi="宋体" w:cs="宋体"/>
                <w:color w:val="auto"/>
                <w:kern w:val="0"/>
                <w:sz w:val="24"/>
              </w:rPr>
            </w:pPr>
          </w:p>
        </w:tc>
        <w:tc>
          <w:tcPr>
            <w:tcW w:w="6889" w:type="dxa"/>
            <w:tcBorders>
              <w:top w:val="single" w:color="auto" w:sz="4" w:space="0"/>
              <w:left w:val="single" w:color="auto" w:sz="4" w:space="0"/>
              <w:bottom w:val="single" w:color="auto" w:sz="4" w:space="0"/>
              <w:right w:val="single" w:color="auto" w:sz="4" w:space="0"/>
            </w:tcBorders>
            <w:vAlign w:val="center"/>
          </w:tcPr>
          <w:p w14:paraId="5D3C94EE">
            <w:pPr>
              <w:widowControl/>
              <w:spacing w:line="276" w:lineRule="auto"/>
              <w:jc w:val="lef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1.该设备涉及的主要芯片产品（CPU、SSD、DRAM、BMC、网卡芯片、电流模块控制芯片）需要满足自主可控要求。</w:t>
            </w:r>
          </w:p>
          <w:p w14:paraId="1E95855B">
            <w:pPr>
              <w:widowControl/>
              <w:spacing w:line="276" w:lineRule="auto"/>
              <w:jc w:val="lef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2.CPU需要通过国家安全可靠测评。</w:t>
            </w:r>
          </w:p>
          <w:p w14:paraId="5E2B4121">
            <w:pPr>
              <w:widowControl/>
              <w:spacing w:line="276" w:lineRule="auto"/>
              <w:jc w:val="left"/>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3.嵌入式操作系统需要满足自主可控要求。</w:t>
            </w:r>
          </w:p>
          <w:p w14:paraId="576B2ECB">
            <w:pPr>
              <w:widowControl/>
              <w:spacing w:line="276" w:lineRule="auto"/>
              <w:jc w:val="left"/>
              <w:rPr>
                <w:rFonts w:hint="eastAsia" w:ascii="宋体" w:hAnsi="宋体" w:cs="宋体"/>
                <w:color w:val="auto"/>
                <w:kern w:val="0"/>
                <w:sz w:val="24"/>
              </w:rPr>
            </w:pPr>
            <w:r>
              <w:rPr>
                <w:rFonts w:hint="eastAsia" w:ascii="宋体" w:hAnsi="宋体" w:cs="宋体"/>
                <w:color w:val="auto"/>
                <w:kern w:val="0"/>
                <w:sz w:val="24"/>
                <w:lang w:val="en-US" w:eastAsia="zh-CN"/>
              </w:rPr>
              <w:t>4.原厂需就以上要求提供自主可控承诺函并加盖原厂公章。</w:t>
            </w:r>
            <w:bookmarkStart w:id="74" w:name="_GoBack"/>
            <w:bookmarkEnd w:id="74"/>
          </w:p>
        </w:tc>
      </w:tr>
    </w:tbl>
    <w:p w14:paraId="2F19DE6C">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textAlignment w:val="auto"/>
        <w:outlineLvl w:val="2"/>
        <w:rPr>
          <w:rFonts w:hint="eastAsia" w:ascii="宋体" w:hAnsi="宋体" w:cs="宋体"/>
          <w:b/>
          <w:bCs/>
          <w:sz w:val="24"/>
        </w:rPr>
      </w:pPr>
    </w:p>
    <w:p w14:paraId="45B0BA96">
      <w:pPr>
        <w:pStyle w:val="4"/>
        <w:numPr>
          <w:ilvl w:val="0"/>
          <w:numId w:val="4"/>
        </w:numPr>
        <w:spacing w:before="0" w:after="0" w:line="360" w:lineRule="auto"/>
        <w:rPr>
          <w:rFonts w:hint="eastAsia" w:ascii="宋体" w:hAnsi="宋体" w:cs="宋体"/>
          <w:kern w:val="0"/>
          <w:sz w:val="24"/>
          <w:szCs w:val="24"/>
        </w:rPr>
      </w:pPr>
      <w:bookmarkStart w:id="42" w:name="_Toc914"/>
      <w:r>
        <w:rPr>
          <w:rFonts w:hint="eastAsia" w:ascii="宋体" w:hAnsi="宋体" w:cs="宋体"/>
          <w:kern w:val="0"/>
          <w:sz w:val="24"/>
          <w:szCs w:val="24"/>
        </w:rPr>
        <w:t>资料管理</w:t>
      </w:r>
      <w:bookmarkEnd w:id="34"/>
      <w:bookmarkEnd w:id="35"/>
      <w:bookmarkEnd w:id="36"/>
      <w:bookmarkEnd w:id="42"/>
    </w:p>
    <w:p w14:paraId="4F378FF8">
      <w:pPr>
        <w:numPr>
          <w:ilvl w:val="1"/>
          <w:numId w:val="4"/>
        </w:numPr>
        <w:adjustRightInd w:val="0"/>
        <w:spacing w:line="360" w:lineRule="auto"/>
        <w:ind w:left="0" w:firstLine="0"/>
        <w:outlineLvl w:val="1"/>
        <w:rPr>
          <w:rFonts w:hint="eastAsia" w:ascii="宋体" w:hAnsi="宋体" w:cs="宋体"/>
          <w:sz w:val="24"/>
        </w:rPr>
      </w:pPr>
      <w:bookmarkStart w:id="43" w:name="_Toc270322069"/>
      <w:r>
        <w:rPr>
          <w:rFonts w:hint="eastAsia" w:ascii="宋体" w:hAnsi="宋体" w:cs="宋体"/>
          <w:sz w:val="24"/>
        </w:rPr>
        <w:t>文档范围</w:t>
      </w:r>
      <w:bookmarkEnd w:id="43"/>
    </w:p>
    <w:p w14:paraId="6D49DFBD">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bookmarkStart w:id="44" w:name="_Toc270322070"/>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w:t>
      </w:r>
      <w:r>
        <w:rPr>
          <w:rFonts w:hint="eastAsia" w:ascii="宋体" w:hAnsi="宋体" w:cs="宋体"/>
          <w:b w:val="0"/>
          <w:bCs w:val="0"/>
          <w:spacing w:val="0"/>
          <w:kern w:val="2"/>
          <w:sz w:val="24"/>
          <w:szCs w:val="24"/>
          <w:lang w:val="en-US" w:eastAsia="zh-CN" w:bidi="ar-SA"/>
        </w:rPr>
        <w:t>报价人</w:t>
      </w:r>
      <w:r>
        <w:rPr>
          <w:rFonts w:hint="eastAsia" w:ascii="宋体" w:hAnsi="宋体" w:eastAsia="宋体" w:cs="宋体"/>
          <w:b w:val="0"/>
          <w:bCs w:val="0"/>
          <w:spacing w:val="0"/>
          <w:kern w:val="2"/>
          <w:sz w:val="24"/>
          <w:szCs w:val="24"/>
          <w:lang w:val="en-US" w:eastAsia="zh-CN" w:bidi="ar-SA"/>
        </w:rPr>
        <w:t>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092DC2C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0C9511B">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833F75">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DE64B70">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87FFEB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1B6E8C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939E2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7BD7010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322CF0A">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B9D0C9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C77E6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6C9AA1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B4EDF2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3E1F22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B869D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C02D1F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DBB8ED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42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11F0B8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E786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C841DFB">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6B6A3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4331B7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3F06683C">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6046AFB7">
      <w:pPr>
        <w:numPr>
          <w:ilvl w:val="0"/>
          <w:numId w:val="0"/>
        </w:numPr>
        <w:adjustRightInd w:val="0"/>
        <w:spacing w:line="360" w:lineRule="auto"/>
        <w:ind w:leftChars="0"/>
        <w:outlineLvl w:val="1"/>
        <w:rPr>
          <w:rFonts w:hint="eastAsia" w:ascii="宋体" w:hAnsi="宋体" w:cs="宋体"/>
          <w:sz w:val="24"/>
        </w:rPr>
      </w:pPr>
    </w:p>
    <w:p w14:paraId="20C92142">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的责任</w:t>
      </w:r>
      <w:bookmarkEnd w:id="44"/>
    </w:p>
    <w:p w14:paraId="3548F930">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7342CF29">
      <w:pPr>
        <w:pStyle w:val="4"/>
        <w:numPr>
          <w:ilvl w:val="0"/>
          <w:numId w:val="4"/>
        </w:numPr>
        <w:spacing w:before="0" w:after="0" w:line="360" w:lineRule="auto"/>
        <w:rPr>
          <w:rFonts w:hint="eastAsia" w:ascii="宋体" w:hAnsi="宋体"/>
          <w:kern w:val="0"/>
          <w:sz w:val="24"/>
          <w:szCs w:val="24"/>
        </w:rPr>
      </w:pPr>
      <w:bookmarkStart w:id="45" w:name="_Toc58225921"/>
      <w:bookmarkStart w:id="46" w:name="_Toc27515"/>
      <w:bookmarkStart w:id="47" w:name="_Toc31121_WPSOffice_Level1"/>
      <w:bookmarkStart w:id="48" w:name="_Toc8849_WPSOffice_Level1"/>
      <w:bookmarkStart w:id="49" w:name="_Toc27007"/>
      <w:bookmarkStart w:id="50" w:name="_Toc510"/>
      <w:bookmarkStart w:id="51" w:name="_Toc187218714"/>
      <w:r>
        <w:rPr>
          <w:rFonts w:hint="eastAsia" w:ascii="宋体" w:hAnsi="宋体"/>
          <w:kern w:val="0"/>
          <w:sz w:val="24"/>
          <w:szCs w:val="24"/>
        </w:rPr>
        <w:t>售后服务及技术培训</w:t>
      </w:r>
      <w:bookmarkEnd w:id="45"/>
      <w:bookmarkEnd w:id="46"/>
      <w:bookmarkEnd w:id="47"/>
      <w:bookmarkEnd w:id="48"/>
      <w:bookmarkEnd w:id="49"/>
      <w:bookmarkEnd w:id="50"/>
    </w:p>
    <w:p w14:paraId="028C5F6C">
      <w:pPr>
        <w:tabs>
          <w:tab w:val="left" w:pos="1148"/>
        </w:tabs>
        <w:spacing w:line="360" w:lineRule="auto"/>
        <w:ind w:firstLine="480"/>
        <w:jc w:val="left"/>
        <w:rPr>
          <w:rFonts w:hint="eastAsia" w:ascii="宋体" w:hAnsi="宋体" w:cs="宋体"/>
          <w:sz w:val="24"/>
        </w:rPr>
      </w:pPr>
      <w:bookmarkStart w:id="52" w:name="_Toc58225922"/>
      <w:bookmarkStart w:id="53" w:name="_Toc317067408"/>
      <w:bookmarkStart w:id="54" w:name="_Toc317690130"/>
      <w:bookmarkStart w:id="55" w:name="_Toc17375_WPSOffice_Level1"/>
      <w:bookmarkStart w:id="56" w:name="_Toc23917"/>
      <w:bookmarkStart w:id="57" w:name="_Toc8224_WPSOffice_Level1"/>
      <w:bookmarkStart w:id="58" w:name="_Toc317689842"/>
      <w:bookmarkStart w:id="59" w:name="_Toc20893"/>
      <w:bookmarkStart w:id="60" w:name="_Toc32297"/>
      <w:r>
        <w:rPr>
          <w:rFonts w:hint="eastAsia" w:ascii="宋体" w:hAnsi="宋体" w:cs="宋体"/>
          <w:sz w:val="24"/>
        </w:rPr>
        <w:t>在产品质保期内有制造质量的货物，由供货方负责修理或更换。对非甲方责任造成的货物损坏，供货方有优先提供更换的义务。</w:t>
      </w:r>
    </w:p>
    <w:p w14:paraId="30816D6F">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.1售后服务要求</w:t>
      </w:r>
    </w:p>
    <w:p w14:paraId="7A64591A">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20523599">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72B4EB30">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641D9117">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w:t>
      </w:r>
      <w:r>
        <w:rPr>
          <w:rFonts w:hint="eastAsia" w:ascii="宋体" w:hAnsi="宋体" w:cs="宋体"/>
          <w:sz w:val="24"/>
          <w:highlight w:val="none"/>
          <w:lang w:eastAsia="zh-CN"/>
        </w:rPr>
        <w:t>报价人</w:t>
      </w:r>
      <w:r>
        <w:rPr>
          <w:rFonts w:hint="eastAsia" w:ascii="宋体" w:hAnsi="宋体" w:eastAsia="宋体" w:cs="宋体"/>
          <w:sz w:val="24"/>
          <w:highlight w:val="none"/>
        </w:rPr>
        <w:t>必须在用户提出维护要求的2小时内作出响应，24小时内提交故障分析报告和解决方案，48小时内故障得以解决。</w:t>
      </w:r>
    </w:p>
    <w:p w14:paraId="777BBB9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w:t>
      </w:r>
      <w:r>
        <w:rPr>
          <w:rFonts w:hint="eastAsia" w:ascii="宋体" w:hAnsi="宋体" w:cs="宋体"/>
          <w:sz w:val="24"/>
          <w:highlight w:val="none"/>
          <w:lang w:eastAsia="zh-CN"/>
        </w:rPr>
        <w:t>报价人</w:t>
      </w:r>
      <w:r>
        <w:rPr>
          <w:rFonts w:hint="eastAsia" w:ascii="宋体" w:hAnsi="宋体" w:eastAsia="宋体" w:cs="宋体"/>
          <w:sz w:val="24"/>
          <w:highlight w:val="none"/>
        </w:rPr>
        <w:t>应在接到故障电话后4小时到达现场，24小时内修复故障。</w:t>
      </w:r>
    </w:p>
    <w:p w14:paraId="1B0B6753">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eastAsia="宋体" w:cs="宋体"/>
          <w:sz w:val="24"/>
          <w:highlight w:val="none"/>
        </w:rPr>
        <w:t>负责一切后果。</w:t>
      </w:r>
    </w:p>
    <w:p w14:paraId="7C30FAB4">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18152730">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01DD680B">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101D13A3">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w:t>
      </w:r>
      <w:r>
        <w:rPr>
          <w:rFonts w:hint="eastAsia" w:ascii="宋体" w:hAnsi="宋体" w:cs="宋体"/>
          <w:sz w:val="24"/>
          <w:highlight w:val="none"/>
          <w:lang w:eastAsia="zh-CN"/>
        </w:rPr>
        <w:t>报价人</w:t>
      </w:r>
      <w:r>
        <w:rPr>
          <w:rFonts w:hint="eastAsia" w:ascii="宋体" w:hAnsi="宋体" w:cs="宋体"/>
          <w:sz w:val="24"/>
          <w:highlight w:val="none"/>
        </w:rPr>
        <w:t>必须在用户提出维护要求的2小时内作出响应，24小时内提交故障分析报告和解决方案，48小时内故障得以解决。</w:t>
      </w:r>
    </w:p>
    <w:p w14:paraId="5EDD9B7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w:t>
      </w:r>
      <w:r>
        <w:rPr>
          <w:rFonts w:hint="eastAsia" w:ascii="宋体" w:hAnsi="宋体" w:cs="宋体"/>
          <w:sz w:val="24"/>
          <w:highlight w:val="none"/>
          <w:lang w:eastAsia="zh-CN"/>
        </w:rPr>
        <w:t>报价人</w:t>
      </w:r>
      <w:r>
        <w:rPr>
          <w:rFonts w:hint="eastAsia" w:ascii="宋体" w:hAnsi="宋体" w:cs="宋体"/>
          <w:sz w:val="24"/>
          <w:highlight w:val="none"/>
        </w:rPr>
        <w:t>应在接到故障电话后4小时到达现场，24小时内修复故障。</w:t>
      </w:r>
    </w:p>
    <w:p w14:paraId="0518F96A">
      <w:pPr>
        <w:numPr>
          <w:ilvl w:val="0"/>
          <w:numId w:val="5"/>
        </w:numPr>
        <w:tabs>
          <w:tab w:val="left" w:pos="1148"/>
        </w:tabs>
        <w:spacing w:line="360" w:lineRule="auto"/>
        <w:ind w:left="840" w:leftChars="0" w:hanging="420" w:firstLineChars="0"/>
        <w:jc w:val="left"/>
        <w:rPr>
          <w:rFonts w:hint="eastAsia" w:ascii="宋体" w:hAnsi="宋体" w:cs="宋体"/>
          <w:highlight w:val="none"/>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cs="宋体"/>
          <w:sz w:val="24"/>
          <w:highlight w:val="none"/>
        </w:rPr>
        <w:t>负责一切后果</w:t>
      </w:r>
      <w:r>
        <w:rPr>
          <w:rFonts w:hint="eastAsia" w:ascii="宋体" w:hAnsi="宋体" w:cs="宋体"/>
          <w:highlight w:val="none"/>
        </w:rPr>
        <w:t>。</w:t>
      </w:r>
    </w:p>
    <w:p w14:paraId="23D08DCD">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.2技术培训</w:t>
      </w:r>
    </w:p>
    <w:p w14:paraId="33111E56">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rPr>
        <w:t>(1)供方负责对需方技术人员及运行、维护人员的培训；</w:t>
      </w:r>
    </w:p>
    <w:p w14:paraId="1E3D29CD">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)由供方负责免费提供培训，甲方选派人员参加；</w:t>
      </w:r>
    </w:p>
    <w:p w14:paraId="0291456E">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1" w:name="_Toc26401"/>
      <w:r>
        <w:rPr>
          <w:rFonts w:hint="eastAsia" w:ascii="宋体" w:hAnsi="宋体" w:cs="宋体"/>
          <w:kern w:val="0"/>
          <w:sz w:val="24"/>
          <w:szCs w:val="24"/>
        </w:rPr>
        <w:t>质量保证</w:t>
      </w:r>
      <w:bookmarkEnd w:id="52"/>
      <w:bookmarkEnd w:id="53"/>
      <w:bookmarkEnd w:id="54"/>
      <w:bookmarkEnd w:id="55"/>
      <w:bookmarkEnd w:id="56"/>
      <w:bookmarkEnd w:id="57"/>
      <w:bookmarkEnd w:id="58"/>
      <w:bookmarkEnd w:id="59"/>
      <w:bookmarkEnd w:id="60"/>
      <w:bookmarkEnd w:id="61"/>
    </w:p>
    <w:p w14:paraId="7133198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6F57DC9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11E0660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2" w:name="_Toc1204"/>
      <w:bookmarkStart w:id="63" w:name="_Toc306176806"/>
      <w:bookmarkStart w:id="64" w:name="_Toc23858"/>
      <w:bookmarkStart w:id="65" w:name="_Toc4330_WPSOffice_Level1"/>
      <w:bookmarkStart w:id="66" w:name="_Toc317690135"/>
      <w:bookmarkStart w:id="67" w:name="_Toc2446"/>
      <w:bookmarkStart w:id="68" w:name="_Toc317689847"/>
      <w:bookmarkStart w:id="69" w:name="_Toc28658"/>
      <w:bookmarkStart w:id="70" w:name="_Toc22439_WPSOffice_Level1"/>
      <w:bookmarkStart w:id="71" w:name="_Toc58225924"/>
      <w:r>
        <w:rPr>
          <w:rFonts w:hint="eastAsia" w:ascii="宋体" w:hAnsi="宋体" w:cs="宋体"/>
          <w:kern w:val="0"/>
          <w:sz w:val="24"/>
          <w:szCs w:val="24"/>
        </w:rPr>
        <w:t>包装、运输和贮存</w:t>
      </w:r>
      <w:bookmarkEnd w:id="62"/>
      <w:bookmarkEnd w:id="63"/>
      <w:bookmarkEnd w:id="64"/>
      <w:bookmarkEnd w:id="65"/>
      <w:bookmarkEnd w:id="66"/>
      <w:bookmarkEnd w:id="67"/>
      <w:bookmarkEnd w:id="68"/>
      <w:bookmarkEnd w:id="69"/>
      <w:bookmarkEnd w:id="70"/>
      <w:bookmarkEnd w:id="71"/>
    </w:p>
    <w:p w14:paraId="08BCFACF">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2" w:name="_Toc317689848"/>
      <w:bookmarkStart w:id="73" w:name="_Toc317690136"/>
      <w:r>
        <w:rPr>
          <w:rFonts w:hint="eastAsia" w:ascii="宋体" w:hAnsi="宋体" w:eastAsia="宋体" w:cs="宋体"/>
          <w:sz w:val="24"/>
          <w:szCs w:val="24"/>
        </w:rPr>
        <w:t>设备制造完成并通过试验后应及时包装, 否则应得到切实的保护, 确保其不受污损。</w:t>
      </w:r>
      <w:bookmarkEnd w:id="72"/>
      <w:bookmarkEnd w:id="73"/>
    </w:p>
    <w:p w14:paraId="1F4C7A4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0DDE5B98">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48141C9F">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6A18F60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15CE373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181C1EED">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4F76B12D">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435AF31C">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7E908BEA">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2115B4D0">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51"/>
    <w:p w14:paraId="59A2C388">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86"/>
    <w:family w:val="roman"/>
    <w:pitch w:val="default"/>
    <w:sig w:usb0="00000000" w:usb1="00000000" w:usb2="00000001" w:usb3="00000000" w:csb0="400001BF" w:csb1="DFF7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兰亭黑简体">
    <w:altName w:val="方正黑体_GBK"/>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书宋简体">
    <w:altName w:val="方正书宋_GBK"/>
    <w:panose1 w:val="00000000000000000000"/>
    <w:charset w:val="86"/>
    <w:family w:val="auto"/>
    <w:pitch w:val="default"/>
    <w:sig w:usb0="00000000" w:usb1="00000000" w:usb2="00000010" w:usb3="00000000" w:csb0="00040000" w:csb1="00000000"/>
  </w:font>
  <w:font w:name="仿宋">
    <w:altName w:val="微软雅黑"/>
    <w:panose1 w:val="02010609060101010101"/>
    <w:charset w:val="00"/>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E9D14">
    <w:pPr>
      <w:pStyle w:val="18"/>
      <w:framePr w:wrap="around" w:vAnchor="text" w:hAnchor="margin" w:xAlign="outside" w:y="1"/>
      <w:ind w:firstLine="360"/>
      <w:rPr>
        <w:rStyle w:val="28"/>
        <w:rFonts w:hint="eastAsia"/>
      </w:rPr>
    </w:pPr>
  </w:p>
  <w:p w14:paraId="6D80D25A">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E266D">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307CA">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264D2585"/>
    <w:multiLevelType w:val="singleLevel"/>
    <w:tmpl w:val="264D2585"/>
    <w:lvl w:ilvl="0" w:tentative="0">
      <w:start w:val="1"/>
      <w:numFmt w:val="bullet"/>
      <w:suff w:val="space"/>
      <w:lvlText w:val=""/>
      <w:lvlJc w:val="left"/>
      <w:pPr>
        <w:ind w:left="840" w:hanging="420"/>
      </w:pPr>
      <w:rPr>
        <w:rFonts w:hint="default" w:ascii="Wingdings" w:hAnsi="Wingdings"/>
      </w:rPr>
    </w:lvl>
  </w:abstractNum>
  <w:abstractNum w:abstractNumId="3">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430851"/>
    <w:rsid w:val="0AA93B45"/>
    <w:rsid w:val="0ACC1AE2"/>
    <w:rsid w:val="0B435618"/>
    <w:rsid w:val="0B5360EA"/>
    <w:rsid w:val="0C527772"/>
    <w:rsid w:val="0C576466"/>
    <w:rsid w:val="0CA672BA"/>
    <w:rsid w:val="0D1E0936"/>
    <w:rsid w:val="0D8449CC"/>
    <w:rsid w:val="0DF650C9"/>
    <w:rsid w:val="0F26399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C2739F"/>
    <w:rsid w:val="18386E60"/>
    <w:rsid w:val="184E1F0C"/>
    <w:rsid w:val="18CA75FE"/>
    <w:rsid w:val="191C334A"/>
    <w:rsid w:val="19460CE0"/>
    <w:rsid w:val="1AA00482"/>
    <w:rsid w:val="1ABC3C79"/>
    <w:rsid w:val="1B5B5B18"/>
    <w:rsid w:val="1C030936"/>
    <w:rsid w:val="1C506F6F"/>
    <w:rsid w:val="1D303241"/>
    <w:rsid w:val="1E7369BB"/>
    <w:rsid w:val="1F366CA9"/>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B937FFC"/>
    <w:rsid w:val="2BD04AB6"/>
    <w:rsid w:val="2CA71D5E"/>
    <w:rsid w:val="2E1B2474"/>
    <w:rsid w:val="2E681E16"/>
    <w:rsid w:val="2EDF12D9"/>
    <w:rsid w:val="2F573B7C"/>
    <w:rsid w:val="2F8567D6"/>
    <w:rsid w:val="2FCC5CEF"/>
    <w:rsid w:val="30673564"/>
    <w:rsid w:val="30D85D33"/>
    <w:rsid w:val="30F532D4"/>
    <w:rsid w:val="30FE0F8E"/>
    <w:rsid w:val="316B5C6E"/>
    <w:rsid w:val="318372DA"/>
    <w:rsid w:val="318A2460"/>
    <w:rsid w:val="3231504C"/>
    <w:rsid w:val="32623E41"/>
    <w:rsid w:val="32DC637C"/>
    <w:rsid w:val="342E6AAB"/>
    <w:rsid w:val="34A64A1B"/>
    <w:rsid w:val="34C95646"/>
    <w:rsid w:val="3597171B"/>
    <w:rsid w:val="35B3492D"/>
    <w:rsid w:val="365708EE"/>
    <w:rsid w:val="367508D7"/>
    <w:rsid w:val="37BB2973"/>
    <w:rsid w:val="37C86AC9"/>
    <w:rsid w:val="37CA00BF"/>
    <w:rsid w:val="37D512D0"/>
    <w:rsid w:val="38F05560"/>
    <w:rsid w:val="39405F39"/>
    <w:rsid w:val="3A251832"/>
    <w:rsid w:val="3AAB41ED"/>
    <w:rsid w:val="3AB6003C"/>
    <w:rsid w:val="3B9741BB"/>
    <w:rsid w:val="3CA95481"/>
    <w:rsid w:val="3DF25826"/>
    <w:rsid w:val="3DFB21D5"/>
    <w:rsid w:val="3E915CD0"/>
    <w:rsid w:val="3EE038B6"/>
    <w:rsid w:val="3FA465B9"/>
    <w:rsid w:val="3FFB571C"/>
    <w:rsid w:val="404359A5"/>
    <w:rsid w:val="40621095"/>
    <w:rsid w:val="40AB38A5"/>
    <w:rsid w:val="410C1392"/>
    <w:rsid w:val="418836F4"/>
    <w:rsid w:val="43BA072D"/>
    <w:rsid w:val="441A4B06"/>
    <w:rsid w:val="455B50DE"/>
    <w:rsid w:val="45A83740"/>
    <w:rsid w:val="46D27786"/>
    <w:rsid w:val="480E7EAC"/>
    <w:rsid w:val="485B1C35"/>
    <w:rsid w:val="494578CA"/>
    <w:rsid w:val="49B332B1"/>
    <w:rsid w:val="4A9F479A"/>
    <w:rsid w:val="4ADB6E6B"/>
    <w:rsid w:val="4AFA520F"/>
    <w:rsid w:val="4B002E05"/>
    <w:rsid w:val="4C0F4F8A"/>
    <w:rsid w:val="4C721960"/>
    <w:rsid w:val="4DA970B2"/>
    <w:rsid w:val="4DE36393"/>
    <w:rsid w:val="4F1824C0"/>
    <w:rsid w:val="4FA10D2D"/>
    <w:rsid w:val="4FCB3827"/>
    <w:rsid w:val="50420C4E"/>
    <w:rsid w:val="514461DE"/>
    <w:rsid w:val="522D05F0"/>
    <w:rsid w:val="52DC2ADF"/>
    <w:rsid w:val="52DC4621"/>
    <w:rsid w:val="538A7093"/>
    <w:rsid w:val="53AC59FB"/>
    <w:rsid w:val="53CD22E1"/>
    <w:rsid w:val="5483498F"/>
    <w:rsid w:val="54E70157"/>
    <w:rsid w:val="55AE4DBC"/>
    <w:rsid w:val="563061C4"/>
    <w:rsid w:val="56D519C0"/>
    <w:rsid w:val="56EA7A59"/>
    <w:rsid w:val="5834503F"/>
    <w:rsid w:val="58E40DC6"/>
    <w:rsid w:val="59633ABF"/>
    <w:rsid w:val="5A3460F2"/>
    <w:rsid w:val="5A505458"/>
    <w:rsid w:val="5B131468"/>
    <w:rsid w:val="5B2818FF"/>
    <w:rsid w:val="5C537F09"/>
    <w:rsid w:val="5C813C19"/>
    <w:rsid w:val="5D7C6762"/>
    <w:rsid w:val="5DD07FF5"/>
    <w:rsid w:val="5DE21359"/>
    <w:rsid w:val="5E0673C2"/>
    <w:rsid w:val="5F9B50CF"/>
    <w:rsid w:val="5FD03A95"/>
    <w:rsid w:val="607D4D71"/>
    <w:rsid w:val="61334FD6"/>
    <w:rsid w:val="61A80D72"/>
    <w:rsid w:val="625F689C"/>
    <w:rsid w:val="6298360A"/>
    <w:rsid w:val="62F70FAC"/>
    <w:rsid w:val="640544A8"/>
    <w:rsid w:val="640E399E"/>
    <w:rsid w:val="645F7296"/>
    <w:rsid w:val="646642CA"/>
    <w:rsid w:val="64A6416A"/>
    <w:rsid w:val="64ED5626"/>
    <w:rsid w:val="65627369"/>
    <w:rsid w:val="65A253CE"/>
    <w:rsid w:val="666F5341"/>
    <w:rsid w:val="66DE7249"/>
    <w:rsid w:val="672E3660"/>
    <w:rsid w:val="67C55FFA"/>
    <w:rsid w:val="67FCD093"/>
    <w:rsid w:val="684D4E8E"/>
    <w:rsid w:val="6AC91050"/>
    <w:rsid w:val="6B2EDA66"/>
    <w:rsid w:val="6B87697A"/>
    <w:rsid w:val="6C20132D"/>
    <w:rsid w:val="6D50338F"/>
    <w:rsid w:val="6D8C35C7"/>
    <w:rsid w:val="6DDD0AD4"/>
    <w:rsid w:val="6E565215"/>
    <w:rsid w:val="6ECECF35"/>
    <w:rsid w:val="6EF275A1"/>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3517B"/>
    <w:rsid w:val="7A9E37AF"/>
    <w:rsid w:val="7AFB141C"/>
    <w:rsid w:val="7B9851BE"/>
    <w:rsid w:val="7BAD38DD"/>
    <w:rsid w:val="7BEFE7A5"/>
    <w:rsid w:val="7C673F2C"/>
    <w:rsid w:val="7D1459C1"/>
    <w:rsid w:val="7D700E1F"/>
    <w:rsid w:val="7DFD5204"/>
    <w:rsid w:val="7E37CB3D"/>
    <w:rsid w:val="7EAD4801"/>
    <w:rsid w:val="7EB3400B"/>
    <w:rsid w:val="7EB729B4"/>
    <w:rsid w:val="7EC63350"/>
    <w:rsid w:val="7EDF1446"/>
    <w:rsid w:val="7F9E3966"/>
    <w:rsid w:val="7FA8499B"/>
    <w:rsid w:val="7FCFC40F"/>
    <w:rsid w:val="7FFE45DB"/>
    <w:rsid w:val="D4FBECBE"/>
    <w:rsid w:val="DBCFE2ED"/>
    <w:rsid w:val="DBF9E8CA"/>
    <w:rsid w:val="F3FE2774"/>
    <w:rsid w:val="F3FE5FC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 w:type="paragraph" w:customStyle="1" w:styleId="74">
    <w:name w:val="首行缩进"/>
    <w:basedOn w:val="1"/>
    <w:qFormat/>
    <w:uiPriority w:val="0"/>
    <w:pPr>
      <w:spacing w:line="300" w:lineRule="auto"/>
      <w:ind w:firstLine="420" w:firstLineChars="200"/>
    </w:pPr>
    <w:rPr>
      <w:rFonts w:ascii="Times New Roman" w:hAnsi="Times New Roman" w:eastAsia="方正书宋简体" w:cs="Times New Roman"/>
      <w:szCs w:val="20"/>
    </w:rPr>
  </w:style>
  <w:style w:type="paragraph" w:customStyle="1" w:styleId="75">
    <w:name w:val="tabletext"/>
    <w:basedOn w:val="1"/>
    <w:qFormat/>
    <w:uiPriority w:val="0"/>
    <w:pPr>
      <w:widowControl/>
      <w:spacing w:before="100" w:beforeAutospacing="1" w:after="10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11</Pages>
  <Words>3883</Words>
  <Characters>4490</Characters>
  <Lines>25</Lines>
  <Paragraphs>7</Paragraphs>
  <TotalTime>0</TotalTime>
  <ScaleCrop>false</ScaleCrop>
  <LinksUpToDate>false</LinksUpToDate>
  <CharactersWithSpaces>4541</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2019-03-06T18:06:00Z</dcterms:created>
  <dc:creator>李曼</dc:creator>
  <cp:lastModifiedBy>administrator</cp:lastModifiedBy>
  <cp:lastPrinted>2020-08-02T18:54:00Z</cp:lastPrinted>
  <dcterms:modified xsi:type="dcterms:W3CDTF">2026-07-23T16:04:20Z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C8E2D626CDDC431898048522DB04608F</vt:lpwstr>
  </property>
  <property fmtid="{D5CDD505-2E9C-101B-9397-08002B2CF9AE}" pid="4" name="KSOTemplateDocerSaveRecord">
    <vt:lpwstr>eyJoZGlkIjoiOWNjZWIzMjExMGMxZGJlYjAwMzYwMTY2NTcxZDM2ODgiLCJ1c2VySWQiOiIzODA0NDY2MjQifQ==</vt:lpwstr>
  </property>
</Properties>
</file>